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D546">
      <w:pPr>
        <w:pStyle w:val="2"/>
      </w:pPr>
      <w:r>
        <w:t>西南财经大学管理科学与工程学院</w:t>
      </w:r>
      <w:r>
        <w:br w:type="textWrapping"/>
      </w:r>
      <w:r>
        <w:t>202</w:t>
      </w:r>
      <w:r>
        <w:rPr>
          <w:rFonts w:hint="eastAsia"/>
          <w:lang w:val="en-US" w:eastAsia="zh-CN"/>
        </w:rPr>
        <w:t>5</w:t>
      </w:r>
      <w:r>
        <w:t>级本科推荐免试研究生工作实施细则</w:t>
      </w:r>
    </w:p>
    <w:p w14:paraId="2DCFF462">
      <w:pPr>
        <w:pStyle w:val="3"/>
      </w:pPr>
      <w:r>
        <w:t>第一章</w:t>
      </w:r>
      <w:r>
        <w:rPr>
          <w:rFonts w:cs="宋体"/>
          <w:kern w:val="0"/>
        </w:rPr>
        <w:t>　</w:t>
      </w:r>
      <w:r>
        <w:t>总</w:t>
      </w:r>
      <w:r>
        <w:rPr>
          <w:rFonts w:cs="宋体"/>
          <w:kern w:val="0"/>
        </w:rPr>
        <w:t>　</w:t>
      </w:r>
      <w:r>
        <w:t>则</w:t>
      </w:r>
    </w:p>
    <w:p w14:paraId="1DDF0CA0">
      <w:pPr>
        <w:spacing w:line="560" w:lineRule="exact"/>
        <w:ind w:firstLine="562" w:firstLineChars="200"/>
        <w:rPr>
          <w:rFonts w:hint="eastAsia" w:ascii="仿宋_GB2312" w:eastAsia="仿宋_GB2312"/>
          <w:sz w:val="28"/>
          <w:szCs w:val="28"/>
        </w:rPr>
      </w:pPr>
      <w:r>
        <w:rPr>
          <w:rFonts w:hint="eastAsia" w:ascii="仿宋_GB2312" w:eastAsia="仿宋_GB2312"/>
          <w:b/>
          <w:sz w:val="28"/>
          <w:szCs w:val="28"/>
          <w:shd w:val="clear" w:color="auto" w:fill="FFFFFF"/>
        </w:rPr>
        <w:t>第一条</w:t>
      </w:r>
      <w:r>
        <w:rPr>
          <w:rFonts w:hint="eastAsia" w:ascii="仿宋_GB2312" w:hAnsi="宋体" w:eastAsia="仿宋_GB2312" w:cs="宋体"/>
          <w:kern w:val="0"/>
          <w:sz w:val="28"/>
          <w:szCs w:val="28"/>
        </w:rPr>
        <w:t>　</w:t>
      </w:r>
      <w:r>
        <w:rPr>
          <w:rFonts w:hint="eastAsia" w:ascii="仿宋_GB2312" w:eastAsia="仿宋_GB2312"/>
          <w:sz w:val="28"/>
          <w:szCs w:val="28"/>
          <w:shd w:val="clear" w:color="auto" w:fill="FFFFFF"/>
        </w:rPr>
        <w:t>工作目标 根据《西南财经大学推荐免试研究生管理办法(西财大办〔2024〕49号)》的规定，为加大管理科学与工程学院拔尖创新人才选拔力度，本着“公平、公正、公开”的原则，结合学院实际，制订管理科学与工程学院推荐免试研究生实施细则（以下简称“细则”）。</w:t>
      </w:r>
    </w:p>
    <w:p w14:paraId="10F4125F">
      <w:pPr>
        <w:spacing w:line="560" w:lineRule="exact"/>
        <w:ind w:firstLine="562" w:firstLineChars="200"/>
        <w:rPr>
          <w:rFonts w:ascii="仿宋_GB2312" w:eastAsia="仿宋_GB2312"/>
          <w:sz w:val="28"/>
          <w:szCs w:val="28"/>
          <w:shd w:val="clear" w:color="auto" w:fill="FFFFFF"/>
        </w:rPr>
      </w:pPr>
      <w:r>
        <w:rPr>
          <w:rFonts w:hint="eastAsia" w:ascii="仿宋_GB2312" w:eastAsia="仿宋_GB2312"/>
          <w:b/>
          <w:sz w:val="28"/>
          <w:szCs w:val="28"/>
          <w:shd w:val="clear" w:color="auto" w:fill="FFFFFF"/>
        </w:rPr>
        <w:t>第二条</w:t>
      </w:r>
      <w:r>
        <w:rPr>
          <w:rFonts w:hint="eastAsia" w:ascii="仿宋_GB2312" w:hAnsi="宋体" w:eastAsia="仿宋_GB2312" w:cs="宋体"/>
          <w:kern w:val="0"/>
          <w:sz w:val="28"/>
          <w:szCs w:val="28"/>
        </w:rPr>
        <w:t>　</w:t>
      </w:r>
      <w:r>
        <w:rPr>
          <w:rFonts w:hint="eastAsia" w:ascii="仿宋_GB2312" w:eastAsia="仿宋_GB2312"/>
          <w:sz w:val="28"/>
          <w:szCs w:val="28"/>
          <w:shd w:val="clear" w:color="auto" w:fill="FFFFFF"/>
        </w:rPr>
        <w:t>组织机构 学院成立推荐优秀应届本科毕业生免试攻读硕士学位研究生（以下简称“推免生”）遴选工作小组（以下简称“学院工作小组”），具体负责本学院推荐工作。学院工作小组由学院负责人、教授代表、系主任、辅导员和本科教学秘书组成，书记、院长担任工作小组组长。</w:t>
      </w:r>
    </w:p>
    <w:p w14:paraId="7E717B7C">
      <w:pPr>
        <w:pStyle w:val="3"/>
      </w:pPr>
      <w:r>
        <w:t>第二章　推荐条件和程序</w:t>
      </w:r>
    </w:p>
    <w:p w14:paraId="629B2DFE">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第三条</w:t>
      </w:r>
      <w:r>
        <w:rPr>
          <w:rFonts w:ascii="仿宋_GB2312" w:eastAsia="仿宋_GB2312"/>
          <w:sz w:val="28"/>
          <w:szCs w:val="28"/>
          <w:shd w:val="clear" w:color="auto" w:fill="FFFFFF"/>
        </w:rPr>
        <w:t>　推免生基本条件</w:t>
      </w:r>
    </w:p>
    <w:p w14:paraId="7640637A">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（一）拥护中国共产党的领导，热爱祖国，品德优良，遵纪守法，身心健康。</w:t>
      </w:r>
    </w:p>
    <w:p w14:paraId="1F354957">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（二）纳入国家普通本科招生计划录取的应届本科毕业生（不含专升本、第二学士学位、独立学院学生）。</w:t>
      </w:r>
    </w:p>
    <w:p w14:paraId="5A4B588F">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（三）诚实守信，学风端正，在校期间品学兼优，无考试作弊和学术不端行为记录，无未解除的纪律处分。</w:t>
      </w:r>
    </w:p>
    <w:p w14:paraId="17914A81">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（四）学术研究兴趣浓厚，有较强的创新意识、创新能力和专业能力。</w:t>
      </w:r>
    </w:p>
    <w:p w14:paraId="3BE40790">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（五）满足以下学业条件</w:t>
      </w:r>
    </w:p>
    <w:p w14:paraId="3602EAD7">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1.学分条件</w:t>
      </w:r>
    </w:p>
    <w:p w14:paraId="28F8178B">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修读并获得本专业人才培养方案规定的前三学年全部必修学分、选修学分和通识基础课模块中限选学分。如因学校或学院更改教学计划导致课程未开设，不影响学生报名资格。</w:t>
      </w:r>
    </w:p>
    <w:p w14:paraId="50ABF661">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2.成绩条件</w:t>
      </w:r>
    </w:p>
    <w:p w14:paraId="7017BAA2">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前三学年学分加权平均分（按第一次总评成绩计算）在80分及以上</w:t>
      </w:r>
      <w:r>
        <w:rPr>
          <w:rFonts w:hint="eastAsia" w:ascii="仿宋_GB2312" w:eastAsia="仿宋_GB2312"/>
          <w:color w:val="000000" w:themeColor="text1"/>
          <w:sz w:val="28"/>
          <w:szCs w:val="28"/>
          <w:highlight w:val="none"/>
          <w:shd w:val="clear" w:color="auto" w:fill="FFFFFF"/>
          <w:lang w:eastAsia="zh-CN"/>
          <w14:textFill>
            <w14:solidFill>
              <w14:schemeClr w14:val="tx1"/>
            </w14:solidFill>
          </w14:textFill>
        </w:rPr>
        <w:t>，</w:t>
      </w:r>
      <w:r>
        <w:rPr>
          <w:rFonts w:hint="eastAsia" w:ascii="仿宋_GB2312" w:eastAsia="仿宋_GB2312"/>
          <w:color w:val="000000" w:themeColor="text1"/>
          <w:sz w:val="28"/>
          <w:szCs w:val="28"/>
          <w:highlight w:val="none"/>
          <w:shd w:val="clear" w:color="auto" w:fill="FFFFFF"/>
          <w:lang w:val="en-US" w:eastAsia="zh-CN"/>
          <w14:textFill>
            <w14:solidFill>
              <w14:schemeClr w14:val="tx1"/>
            </w14:solidFill>
          </w14:textFill>
        </w:rPr>
        <w:t>且学分加权平均分排名应列本专业前50%。</w:t>
      </w:r>
      <w:r>
        <w:rPr>
          <w:rFonts w:ascii="仿宋_GB2312" w:eastAsia="仿宋_GB2312"/>
          <w:color w:val="000000" w:themeColor="text1"/>
          <w:sz w:val="28"/>
          <w:szCs w:val="28"/>
          <w:highlight w:val="none"/>
          <w:shd w:val="clear" w:color="auto" w:fill="FFFFFF"/>
          <w14:textFill>
            <w14:solidFill>
              <w14:schemeClr w14:val="tx1"/>
            </w14:solidFill>
          </w14:textFill>
        </w:rPr>
        <w:t>计</w:t>
      </w:r>
      <w:r>
        <w:rPr>
          <w:rFonts w:ascii="仿宋_GB2312" w:eastAsia="仿宋_GB2312"/>
          <w:sz w:val="28"/>
          <w:szCs w:val="28"/>
          <w:shd w:val="clear" w:color="auto" w:fill="FFFFFF"/>
        </w:rPr>
        <w:t>算范围为本专业培养方案中前三学年的思政必修课、通识基础课、通识核心课、通识选修课、学科基础课、大类平台课、专业核心课、专业选修课、跨专业选修课、实验与实践课板块中企业管理经营决策模拟和军事技能课程。</w:t>
      </w:r>
      <w:r>
        <w:rPr>
          <w:rFonts w:ascii="仿宋_GB2312" w:eastAsia="仿宋_GB2312"/>
          <w:sz w:val="28"/>
          <w:szCs w:val="28"/>
          <w:shd w:val="clear" w:color="auto" w:fill="FFFFFF"/>
          <w:vertAlign w:val="superscript"/>
        </w:rPr>
        <w:footnoteReference w:id="0"/>
      </w:r>
      <w:r>
        <w:rPr>
          <w:rFonts w:ascii="仿宋_GB2312" w:eastAsia="仿宋_GB2312"/>
          <w:sz w:val="28"/>
          <w:szCs w:val="28"/>
          <w:shd w:val="clear" w:color="auto" w:fill="FFFFFF"/>
          <w:vertAlign w:val="superscript"/>
        </w:rPr>
        <w:footnoteReference w:id="1"/>
      </w:r>
      <w:r>
        <w:rPr>
          <w:rFonts w:ascii="仿宋_GB2312" w:eastAsia="仿宋_GB2312"/>
          <w:sz w:val="28"/>
          <w:szCs w:val="28"/>
          <w:shd w:val="clear" w:color="auto" w:fill="FFFFFF"/>
          <w:vertAlign w:val="superscript"/>
        </w:rPr>
        <w:footnoteReference w:id="2"/>
      </w:r>
    </w:p>
    <w:p w14:paraId="595FB90F">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3.外语条件</w:t>
      </w:r>
    </w:p>
    <w:p w14:paraId="484B56FB">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学生外语水平满足以下条件之一：大学英语（或其它语种）四级考试成绩在530分及以上；大学英语（或其它语种）六级考试成绩在430分及以上；雅思IELTS成绩6.0及以上；托福TOFEL、GMAT成绩达到满分的65％及以上；GRE成绩达到满分的80％及以上。上述外语成绩均应为在大学期间参加考试并取得的成绩。</w:t>
      </w:r>
    </w:p>
    <w:p w14:paraId="0D54AF8E">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第四条</w:t>
      </w:r>
      <w:r>
        <w:rPr>
          <w:rFonts w:ascii="仿宋_GB2312" w:eastAsia="仿宋_GB2312"/>
          <w:sz w:val="28"/>
          <w:szCs w:val="28"/>
          <w:shd w:val="clear" w:color="auto" w:fill="FFFFFF"/>
        </w:rPr>
        <w:t>　推荐工作程序</w:t>
      </w:r>
    </w:p>
    <w:p w14:paraId="04DFA24C">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（一）学院工作小组根据学校推免生工作计划制定本学院工作计划，向学生进行宣传并接受报名。</w:t>
      </w:r>
    </w:p>
    <w:p w14:paraId="1261EA92">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（二）学生符合本细则第三条所规定的条件，可向学院提交申请。申请学生填写教育部统一制定格式的《普通高等学校推荐免试攻读硕士学位研究生资格申请表》，并提交以下证明材料：</w:t>
      </w:r>
    </w:p>
    <w:p w14:paraId="517095EA">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1</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《普通高等学校推荐免试攻读硕士学位研究生资格登记表》（须经学院工作小组审核后盖章）。</w:t>
      </w:r>
    </w:p>
    <w:p w14:paraId="673418A8">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2</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相关成绩证明原件（包括在校成绩单，英语四六级成绩证明）。</w:t>
      </w:r>
    </w:p>
    <w:p w14:paraId="54A2DF63">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3</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加分项目对应的证明材料原件。</w:t>
      </w:r>
    </w:p>
    <w:p w14:paraId="0760CA8F">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4</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论文封面、目录、正文，目录页上要标明自己名字所在位置。</w:t>
      </w:r>
    </w:p>
    <w:p w14:paraId="27479183">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以上材料均要提供原件和复印件，统一装入档案袋，在档案袋封面写明材料目录，档案袋内的材料要按照目录顺序排列。</w:t>
      </w:r>
    </w:p>
    <w:p w14:paraId="7FA625F4">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学院对报名学生进行资格审核。凡符合条件者，由学院进行综合考核（含综合评分排名和思想品德考核），并按各专业综合测评成绩排序后在本学院内向学生公示推荐名单。</w:t>
      </w:r>
    </w:p>
    <w:p w14:paraId="240AF9E7">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学校复审学院推荐名单并公示，公示期间若有学生被取消资格或自愿放弃，学院可在规定时间内按照排名顺序依次递补。规定时间结束后，不再进行递补工作，推荐名单报校务会审批后向学校党委汇报。</w:t>
      </w:r>
    </w:p>
    <w:p w14:paraId="5421DAEC">
      <w:pPr>
        <w:pStyle w:val="3"/>
      </w:pPr>
      <w:r>
        <w:t>第三章　综合测评</w:t>
      </w:r>
    </w:p>
    <w:p w14:paraId="31D87EEE">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第五条</w:t>
      </w:r>
      <w:r>
        <w:rPr>
          <w:rFonts w:ascii="仿宋_GB2312" w:eastAsia="仿宋_GB2312"/>
          <w:sz w:val="28"/>
          <w:szCs w:val="28"/>
          <w:shd w:val="clear" w:color="auto" w:fill="FFFFFF"/>
        </w:rPr>
        <w:t>　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14:paraId="598A3937">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第六条</w:t>
      </w:r>
      <w:r>
        <w:rPr>
          <w:rFonts w:ascii="仿宋_GB2312" w:eastAsia="仿宋_GB2312"/>
          <w:sz w:val="28"/>
          <w:szCs w:val="28"/>
          <w:shd w:val="clear" w:color="auto" w:fill="FFFFFF"/>
        </w:rPr>
        <w:t>　综合测评由学院按照下列要求及《西南财经大学推免生综合测评成绩评定暂行办法》制定：</w:t>
      </w:r>
    </w:p>
    <w:p w14:paraId="26C1DB22">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一）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14:paraId="76006D42">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（二）突出考查学生的一贯学业表现。注重对学生本科阶段学习情况的过程性评价，将本科阶段学业综合成绩作为推免工作的基础遴选指标，不专门组织遴选推免生的笔试、面试。</w:t>
      </w:r>
    </w:p>
    <w:p w14:paraId="096C68E1">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（三）将学生参加入伍服兵役、参加志愿服务、到国际组织实习、科研成果、竞赛获奖等纳入推免遴选指标体系。</w:t>
      </w:r>
    </w:p>
    <w:p w14:paraId="1F00226F">
      <w:pPr>
        <w:pStyle w:val="3"/>
      </w:pPr>
      <w:r>
        <w:t>第四章　学术专长认定</w:t>
      </w:r>
    </w:p>
    <w:p w14:paraId="6335B39F">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第七条</w:t>
      </w:r>
      <w:r>
        <w:rPr>
          <w:rFonts w:ascii="仿宋_GB2312" w:eastAsia="仿宋_GB2312"/>
          <w:sz w:val="28"/>
          <w:szCs w:val="28"/>
          <w:shd w:val="clear" w:color="auto" w:fill="FFFFFF"/>
        </w:rPr>
        <w:t>　推免生学术专长原则上仅限学生本科阶段在核心期刊上以独立作者或第一作者发表的与学业相关的科研论文；作为主力成员参加与学业相关的国内权威科研竞赛（全国赛）并获得三等奖以上奖励。</w:t>
      </w:r>
    </w:p>
    <w:p w14:paraId="1E38B68D">
      <w:pPr>
        <w:spacing w:line="560" w:lineRule="exact"/>
        <w:ind w:firstLine="560" w:firstLineChars="200"/>
        <w:rPr>
          <w:rFonts w:ascii="仿宋_GB2312" w:eastAsia="仿宋_GB2312"/>
          <w:sz w:val="28"/>
          <w:szCs w:val="28"/>
          <w:shd w:val="clear" w:color="auto" w:fill="FFFFFF"/>
        </w:rPr>
      </w:pPr>
      <w:r>
        <w:rPr>
          <w:rFonts w:ascii="仿宋_GB2312" w:eastAsia="仿宋_GB2312"/>
          <w:sz w:val="28"/>
          <w:szCs w:val="28"/>
          <w:shd w:val="clear" w:color="auto" w:fill="FFFFFF"/>
        </w:rPr>
        <w:t>对于刊物、赛事的认定学院将从严把握。论文原则上只认定发表于《西南财经大学学术期刊目录》的中英文论文及《人民日报》《光明日报》理论版文章。国际赛事的认定参照全国赛执行，但不得低于全国赛事相关要求。</w:t>
      </w:r>
    </w:p>
    <w:p w14:paraId="00C00642">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第八条</w:t>
      </w:r>
      <w:r>
        <w:rPr>
          <w:rFonts w:ascii="仿宋_GB2312" w:eastAsia="仿宋_GB2312"/>
          <w:sz w:val="28"/>
          <w:szCs w:val="28"/>
          <w:shd w:val="clear" w:color="auto" w:fill="FFFFFF"/>
        </w:rPr>
        <w:t>　学生与直系亲属或学历、职称、职务明显高于本人者合作的科研成果仅作为参考，不纳入学生本人推免遴选综合测评成绩计算体系，同等条件下可优先考虑。</w:t>
      </w:r>
    </w:p>
    <w:p w14:paraId="61BCCCF2">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第九条</w:t>
      </w:r>
      <w:r>
        <w:rPr>
          <w:rFonts w:ascii="仿宋_GB2312" w:eastAsia="仿宋_GB2312"/>
          <w:sz w:val="28"/>
          <w:szCs w:val="28"/>
          <w:shd w:val="clear" w:color="auto" w:fill="FFFFFF"/>
        </w:rPr>
        <w:t>　学院成立专家审核小组（专家组成员原则上应具有相关学科副教授以上职称，一般不少于5人），可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14:paraId="230F37E2">
      <w:pPr>
        <w:pStyle w:val="3"/>
      </w:pPr>
      <w:r>
        <w:t>第五章　管理与监督</w:t>
      </w:r>
    </w:p>
    <w:p w14:paraId="19DFA17C">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第十条</w:t>
      </w:r>
      <w:r>
        <w:rPr>
          <w:rFonts w:ascii="仿宋_GB2312" w:eastAsia="仿宋_GB2312"/>
          <w:sz w:val="28"/>
          <w:szCs w:val="28"/>
          <w:shd w:val="clear" w:color="auto" w:fill="FFFFFF"/>
        </w:rPr>
        <w:t>　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对未按规定报备声明回避关系的推免相关工作人员，学校将依规依据严肃处理；对未按规定报备声明回避关系且影响推免过程和结果公平公正的学生，将取消该生的推免资格。</w:t>
      </w:r>
    </w:p>
    <w:p w14:paraId="3342D75B">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第十一条</w:t>
      </w:r>
      <w:r>
        <w:rPr>
          <w:rFonts w:ascii="仿宋_GB2312" w:eastAsia="仿宋_GB2312"/>
          <w:sz w:val="28"/>
          <w:szCs w:val="28"/>
          <w:shd w:val="clear" w:color="auto" w:fill="FFFFFF"/>
        </w:rPr>
        <w:t>　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对在推免工作中管理松懈、把关不严，未能尽到审核责任的学院，核减下一年度推免生名额，影响学校推免资格的追究相关人员责任。</w:t>
      </w:r>
    </w:p>
    <w:p w14:paraId="264C9893">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第十二条</w:t>
      </w:r>
      <w:r>
        <w:rPr>
          <w:rFonts w:ascii="仿宋_GB2312" w:eastAsia="仿宋_GB2312"/>
          <w:sz w:val="28"/>
          <w:szCs w:val="28"/>
          <w:shd w:val="clear" w:color="auto" w:fill="FFFFFF"/>
        </w:rPr>
        <w:t>　学生对推免生工作或名单有异议，可按照《西南财经大学学生申诉处理办法》申诉。</w:t>
      </w:r>
    </w:p>
    <w:p w14:paraId="63860310">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第十三条</w:t>
      </w:r>
      <w:r>
        <w:rPr>
          <w:rFonts w:ascii="仿宋_GB2312" w:eastAsia="仿宋_GB2312"/>
          <w:sz w:val="28"/>
          <w:szCs w:val="28"/>
          <w:shd w:val="clear" w:color="auto" w:fill="FFFFFF"/>
        </w:rPr>
        <w:t>　获得推免生资格后如出现考试作弊和学术不端行为、不能按期毕业或不能获得学士学位证书，推免生资格自动取消。</w:t>
      </w:r>
    </w:p>
    <w:p w14:paraId="2730577A">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第十四条</w:t>
      </w:r>
      <w:r>
        <w:rPr>
          <w:rFonts w:ascii="仿宋_GB2312" w:eastAsia="仿宋_GB2312"/>
          <w:sz w:val="28"/>
          <w:szCs w:val="28"/>
          <w:shd w:val="clear" w:color="auto" w:fill="FFFFFF"/>
        </w:rPr>
        <w:t>　所有获得推免生资格者，由学校统一将名单上报到教育部规定管理平台。学生在管理平台中自行完成网上报名、复试、录取等流程。</w:t>
      </w:r>
    </w:p>
    <w:p w14:paraId="0498B4EC">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第十五条</w:t>
      </w:r>
      <w:r>
        <w:rPr>
          <w:rFonts w:ascii="仿宋_GB2312" w:eastAsia="仿宋_GB2312"/>
          <w:sz w:val="28"/>
          <w:szCs w:val="28"/>
          <w:shd w:val="clear" w:color="auto" w:fill="FFFFFF"/>
        </w:rPr>
        <w:t>　推免生取得资格后自愿到其它学校就读的，由本人自行联系，学院负责出具相关证明。在本科学习期间，推免生仍按本科生管理规定进行管理。</w:t>
      </w:r>
    </w:p>
    <w:p w14:paraId="71616DCA">
      <w:pPr>
        <w:pStyle w:val="3"/>
      </w:pPr>
      <w:r>
        <w:t>第六章　附　则</w:t>
      </w:r>
    </w:p>
    <w:p w14:paraId="41BDD718">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第十六条</w:t>
      </w:r>
      <w:r>
        <w:rPr>
          <w:rFonts w:ascii="仿宋_GB2312" w:eastAsia="仿宋_GB2312"/>
          <w:sz w:val="28"/>
          <w:szCs w:val="28"/>
          <w:shd w:val="clear" w:color="auto" w:fill="FFFFFF"/>
        </w:rPr>
        <w:t>　如国家政策规定发生变化，学校可依据政策规定变化对当年推免工作进行调整。</w:t>
      </w:r>
    </w:p>
    <w:p w14:paraId="2AF17F2C">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第十七条</w:t>
      </w:r>
      <w:r>
        <w:rPr>
          <w:rFonts w:ascii="仿宋_GB2312" w:eastAsia="仿宋_GB2312"/>
          <w:sz w:val="28"/>
          <w:szCs w:val="28"/>
          <w:shd w:val="clear" w:color="auto" w:fill="FFFFFF"/>
        </w:rPr>
        <w:t>　研究生支教团的管理办法由校团委另行制定。</w:t>
      </w:r>
    </w:p>
    <w:p w14:paraId="0DA89174">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第十八条</w:t>
      </w:r>
      <w:r>
        <w:rPr>
          <w:rFonts w:ascii="仿宋_GB2312" w:eastAsia="仿宋_GB2312"/>
          <w:sz w:val="28"/>
          <w:szCs w:val="28"/>
          <w:shd w:val="clear" w:color="auto" w:fill="FFFFFF"/>
        </w:rPr>
        <w:t>　本办法由管理科学与工程学院负责解释。</w:t>
      </w:r>
    </w:p>
    <w:p w14:paraId="16E0DA26">
      <w:pPr>
        <w:spacing w:line="560" w:lineRule="exact"/>
        <w:ind w:firstLine="562" w:firstLineChars="200"/>
        <w:rPr>
          <w:rFonts w:ascii="仿宋_GB2312" w:eastAsia="仿宋_GB2312"/>
          <w:sz w:val="28"/>
          <w:szCs w:val="28"/>
          <w:shd w:val="clear" w:color="auto" w:fill="FFFFFF"/>
        </w:rPr>
      </w:pPr>
      <w:r>
        <w:rPr>
          <w:rFonts w:ascii="仿宋_GB2312" w:eastAsia="仿宋_GB2312"/>
          <w:b/>
          <w:sz w:val="28"/>
          <w:szCs w:val="28"/>
          <w:shd w:val="clear" w:color="auto" w:fill="FFFFFF"/>
        </w:rPr>
        <w:t>第十九条</w:t>
      </w:r>
      <w:r>
        <w:rPr>
          <w:rFonts w:ascii="仿宋_GB2312" w:eastAsia="仿宋_GB2312"/>
          <w:sz w:val="28"/>
          <w:szCs w:val="28"/>
          <w:shd w:val="clear" w:color="auto" w:fill="FFFFFF"/>
        </w:rPr>
        <w:t>　本办法适用于管理科学与工程学院202</w:t>
      </w:r>
      <w:r>
        <w:rPr>
          <w:rFonts w:hint="eastAsia" w:ascii="仿宋_GB2312" w:eastAsia="仿宋_GB2312"/>
          <w:sz w:val="28"/>
          <w:szCs w:val="28"/>
          <w:shd w:val="clear" w:color="auto" w:fill="FFFFFF"/>
          <w:lang w:val="en-US" w:eastAsia="zh-CN"/>
        </w:rPr>
        <w:t>5</w:t>
      </w:r>
      <w:r>
        <w:rPr>
          <w:rFonts w:ascii="仿宋_GB2312" w:eastAsia="仿宋_GB2312"/>
          <w:sz w:val="28"/>
          <w:szCs w:val="28"/>
          <w:shd w:val="clear" w:color="auto" w:fill="FFFFFF"/>
        </w:rPr>
        <w:t>级本科生。</w:t>
      </w:r>
    </w:p>
    <w:p w14:paraId="4B1D9076">
      <w:pPr>
        <w:spacing w:line="560" w:lineRule="exact"/>
        <w:ind w:firstLine="560" w:firstLineChars="200"/>
        <w:rPr>
          <w:rFonts w:ascii="仿宋_GB2312" w:eastAsia="仿宋_GB2312"/>
          <w:sz w:val="28"/>
          <w:szCs w:val="28"/>
          <w:shd w:val="clear" w:color="auto" w:fill="FFFFFF"/>
        </w:rPr>
      </w:pPr>
    </w:p>
    <w:p w14:paraId="483BE299">
      <w:pPr>
        <w:spacing w:line="560" w:lineRule="exact"/>
        <w:ind w:firstLine="560" w:firstLineChars="200"/>
        <w:rPr>
          <w:rFonts w:ascii="仿宋_GB2312" w:eastAsia="仿宋_GB2312"/>
          <w:sz w:val="28"/>
          <w:szCs w:val="28"/>
          <w:shd w:val="clear" w:color="auto" w:fill="FFFFFF"/>
        </w:rPr>
      </w:pPr>
    </w:p>
    <w:p w14:paraId="3C70D85B">
      <w:pPr>
        <w:spacing w:line="560" w:lineRule="exact"/>
        <w:ind w:firstLine="560" w:firstLineChars="200"/>
        <w:rPr>
          <w:rFonts w:ascii="仿宋_GB2312" w:eastAsia="仿宋_GB2312"/>
          <w:sz w:val="28"/>
          <w:szCs w:val="28"/>
          <w:shd w:val="clear" w:color="auto" w:fill="FFFFFF"/>
        </w:rPr>
      </w:pPr>
    </w:p>
    <w:p w14:paraId="5028ED8E">
      <w:pPr>
        <w:spacing w:line="560" w:lineRule="exact"/>
        <w:ind w:firstLine="560" w:firstLineChars="200"/>
        <w:rPr>
          <w:rFonts w:ascii="仿宋_GB2312" w:eastAsia="仿宋_GB2312"/>
          <w:sz w:val="28"/>
          <w:szCs w:val="28"/>
          <w:shd w:val="clear" w:color="auto" w:fill="FFFFFF"/>
        </w:rPr>
      </w:pPr>
    </w:p>
    <w:p w14:paraId="4D2E39E6">
      <w:pPr>
        <w:spacing w:line="560" w:lineRule="exact"/>
        <w:ind w:firstLine="5527" w:firstLineChars="1974"/>
        <w:jc w:val="center"/>
        <w:rPr>
          <w:rFonts w:ascii="仿宋_GB2312" w:eastAsia="仿宋_GB2312"/>
          <w:sz w:val="28"/>
          <w:szCs w:val="28"/>
          <w:shd w:val="clear" w:color="auto" w:fill="FFFFFF"/>
        </w:rPr>
      </w:pPr>
      <w:r>
        <w:rPr>
          <w:rFonts w:hint="eastAsia" w:ascii="仿宋_GB2312" w:eastAsia="仿宋_GB2312"/>
          <w:sz w:val="28"/>
          <w:szCs w:val="28"/>
          <w:shd w:val="clear" w:color="auto" w:fill="FFFFFF"/>
        </w:rPr>
        <w:t>管理科学与工程学院</w:t>
      </w:r>
    </w:p>
    <w:p w14:paraId="01701A2E">
      <w:pPr>
        <w:spacing w:line="560" w:lineRule="exact"/>
        <w:ind w:firstLine="5527" w:firstLineChars="1974"/>
        <w:jc w:val="center"/>
        <w:rPr>
          <w:rFonts w:ascii="仿宋_GB2312" w:eastAsia="仿宋_GB2312"/>
          <w:sz w:val="28"/>
          <w:szCs w:val="28"/>
          <w:shd w:val="clear" w:color="auto" w:fill="FFFFFF"/>
        </w:rPr>
      </w:pPr>
      <w:r>
        <w:rPr>
          <w:rFonts w:hint="eastAsia" w:ascii="仿宋_GB2312" w:eastAsia="仿宋_GB2312"/>
          <w:sz w:val="28"/>
          <w:szCs w:val="28"/>
          <w:shd w:val="clear" w:color="auto" w:fill="FFFFFF"/>
          <w:lang w:val="en-US" w:eastAsia="zh-CN"/>
        </w:rPr>
        <w:t>2026</w:t>
      </w:r>
      <w:r>
        <w:rPr>
          <w:rFonts w:hint="eastAsia" w:ascii="仿宋_GB2312" w:eastAsia="仿宋_GB2312"/>
          <w:sz w:val="28"/>
          <w:szCs w:val="28"/>
          <w:shd w:val="clear" w:color="auto" w:fill="FFFFFF"/>
        </w:rPr>
        <w:t>年</w:t>
      </w:r>
      <w:r>
        <w:rPr>
          <w:rFonts w:hint="eastAsia" w:ascii="仿宋_GB2312" w:eastAsia="仿宋_GB2312"/>
          <w:sz w:val="28"/>
          <w:szCs w:val="28"/>
          <w:shd w:val="clear" w:color="auto" w:fill="FFFFFF"/>
          <w:lang w:val="en-US" w:eastAsia="zh-CN"/>
        </w:rPr>
        <w:t>1</w:t>
      </w:r>
      <w:r>
        <w:rPr>
          <w:rFonts w:hint="eastAsia" w:ascii="仿宋_GB2312" w:eastAsia="仿宋_GB2312"/>
          <w:sz w:val="28"/>
          <w:szCs w:val="28"/>
          <w:shd w:val="clear" w:color="auto" w:fill="FFFFFF"/>
        </w:rPr>
        <w:t>月</w:t>
      </w:r>
    </w:p>
    <w:p w14:paraId="44A90039"/>
    <w:p w14:paraId="198B15C9">
      <w:pPr>
        <w:sectPr>
          <w:footerReference r:id="rId4" w:type="default"/>
          <w:footerReference r:id="rId5" w:type="even"/>
          <w:pgSz w:w="11906" w:h="16839"/>
          <w:pgMar w:top="1440" w:right="1797" w:bottom="1440" w:left="1797" w:header="851" w:footer="992" w:gutter="0"/>
          <w:cols w:space="720" w:num="1"/>
        </w:sectPr>
      </w:pPr>
    </w:p>
    <w:p w14:paraId="0970CFEA">
      <w:pPr>
        <w:pStyle w:val="5"/>
        <w:spacing w:line="560" w:lineRule="exact"/>
        <w:rPr>
          <w:rFonts w:hint="eastAsia" w:ascii="仿宋_GB2312" w:eastAsia="仿宋_GB2312"/>
          <w:lang w:eastAsia="zh-CN"/>
        </w:rPr>
      </w:pPr>
      <w:r>
        <w:rPr>
          <w:rFonts w:hint="eastAsia" w:ascii="仿宋_GB2312" w:eastAsia="仿宋_GB2312"/>
          <w:spacing w:val="-15"/>
          <w:lang w:eastAsia="zh-CN"/>
        </w:rPr>
        <w:t>附件1：</w:t>
      </w:r>
    </w:p>
    <w:p w14:paraId="47E4E9D9">
      <w:pPr>
        <w:pStyle w:val="5"/>
        <w:spacing w:before="480" w:beforeLines="200" w:after="240" w:afterLines="100"/>
        <w:jc w:val="center"/>
        <w:rPr>
          <w:rFonts w:hint="eastAsia" w:ascii="方正小标宋简体" w:eastAsia="方正小标宋简体"/>
          <w:b/>
          <w:sz w:val="34"/>
          <w:szCs w:val="34"/>
          <w:lang w:eastAsia="zh-CN"/>
        </w:rPr>
      </w:pPr>
      <w:r>
        <w:rPr>
          <w:rFonts w:hint="eastAsia" w:ascii="方正小标宋简体" w:eastAsia="方正小标宋简体"/>
          <w:b/>
          <w:bCs/>
          <w:spacing w:val="-4"/>
          <w:sz w:val="34"/>
          <w:szCs w:val="34"/>
          <w:lang w:eastAsia="zh-CN"/>
        </w:rPr>
        <w:t>管理科学与工程学院推免生综合测评成绩评定暂行办法</w:t>
      </w:r>
    </w:p>
    <w:p w14:paraId="41A789FF">
      <w:pPr>
        <w:spacing w:line="560" w:lineRule="exact"/>
        <w:ind w:firstLine="562" w:firstLineChars="200"/>
        <w:rPr>
          <w:rFonts w:ascii="黑体" w:hAnsi="黑体" w:eastAsia="黑体"/>
          <w:b/>
          <w:sz w:val="28"/>
          <w:szCs w:val="28"/>
        </w:rPr>
      </w:pPr>
    </w:p>
    <w:p w14:paraId="1A1BAE9B">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一、综合测评成绩构成</w:t>
      </w:r>
    </w:p>
    <w:p w14:paraId="3306262F">
      <w:pPr>
        <w:pStyle w:val="5"/>
        <w:spacing w:line="560" w:lineRule="exact"/>
        <w:ind w:firstLine="560" w:firstLineChars="200"/>
        <w:rPr>
          <w:rFonts w:hint="eastAsia" w:ascii="仿宋_GB2312" w:eastAsia="仿宋_GB2312"/>
          <w:lang w:eastAsia="zh-CN"/>
        </w:rPr>
      </w:pPr>
      <w:r>
        <w:rPr>
          <w:rFonts w:hint="eastAsia" w:ascii="仿宋_GB2312" w:eastAsia="仿宋_GB2312"/>
          <w:lang w:eastAsia="zh-CN"/>
        </w:rPr>
        <w:t>综合测评成绩=学业成绩×70%+综合能力加分（含拔尖项目加分）×30%</w:t>
      </w:r>
    </w:p>
    <w:p w14:paraId="0DF3A38E">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二、学业成绩</w:t>
      </w:r>
    </w:p>
    <w:p w14:paraId="56D64731">
      <w:pPr>
        <w:pStyle w:val="5"/>
        <w:spacing w:line="560" w:lineRule="exact"/>
        <w:ind w:firstLine="560" w:firstLineChars="200"/>
        <w:rPr>
          <w:rFonts w:hint="eastAsia" w:ascii="仿宋_GB2312" w:eastAsia="仿宋_GB2312"/>
          <w:lang w:eastAsia="zh-CN"/>
        </w:rPr>
      </w:pPr>
      <w:r>
        <w:rPr>
          <w:rFonts w:hint="eastAsia" w:ascii="仿宋_GB2312" w:eastAsia="仿宋_GB2312"/>
          <w:lang w:eastAsia="zh-CN"/>
        </w:rPr>
        <w:t>学业成绩满分100分。</w:t>
      </w:r>
    </w:p>
    <w:p w14:paraId="7575FD03">
      <w:pPr>
        <w:pStyle w:val="5"/>
        <w:spacing w:line="560" w:lineRule="exact"/>
        <w:ind w:firstLine="560" w:firstLineChars="200"/>
        <w:rPr>
          <w:rFonts w:hint="eastAsia" w:ascii="仿宋_GB2312" w:eastAsia="仿宋_GB2312"/>
          <w:lang w:eastAsia="zh-CN"/>
        </w:rPr>
      </w:pPr>
      <w:r>
        <w:rPr>
          <w:rFonts w:hint="eastAsia" w:ascii="仿宋_GB2312" w:eastAsia="仿宋_GB2312"/>
          <w:lang w:eastAsia="zh-CN"/>
        </w:rPr>
        <w:t>学业成绩=∑（某门课程成绩×该课程学分）/∑课程学分</w:t>
      </w:r>
    </w:p>
    <w:p w14:paraId="2B8B6EFB">
      <w:pPr>
        <w:spacing w:line="560" w:lineRule="exact"/>
        <w:ind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sz w:val="28"/>
          <w:szCs w:val="28"/>
          <w:shd w:val="clear" w:color="auto" w:fill="FFFFFF"/>
        </w:rPr>
        <w:t>前</w:t>
      </w:r>
      <w:r>
        <w:rPr>
          <w:rFonts w:hint="eastAsia" w:ascii="仿宋_GB2312" w:eastAsia="仿宋_GB2312"/>
          <w:color w:val="000000" w:themeColor="text1"/>
          <w:sz w:val="28"/>
          <w:szCs w:val="28"/>
          <w:shd w:val="clear" w:color="auto" w:fill="FFFFFF"/>
          <w14:textFill>
            <w14:solidFill>
              <w14:schemeClr w14:val="tx1"/>
            </w14:solidFill>
          </w14:textFill>
        </w:rPr>
        <w:t>三学年学分加权平均分（按第一次总评成绩计算）在80分及以上</w:t>
      </w:r>
      <w:r>
        <w:rPr>
          <w:rFonts w:hint="eastAsia" w:ascii="仿宋_GB2312" w:eastAsia="仿宋_GB2312"/>
          <w:color w:val="000000" w:themeColor="text1"/>
          <w:sz w:val="28"/>
          <w:szCs w:val="28"/>
          <w:highlight w:val="none"/>
          <w:shd w:val="clear" w:color="auto" w:fill="FFFFFF"/>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且学分加权平均分排名应列本专业前5</w:t>
      </w:r>
      <w:r>
        <w:rPr>
          <w:rFonts w:ascii="仿宋" w:hAnsi="仿宋" w:eastAsia="仿宋"/>
          <w:b/>
          <w:color w:val="000000" w:themeColor="text1"/>
          <w:sz w:val="28"/>
          <w:szCs w:val="28"/>
          <w:highlight w:val="none"/>
          <w14:textFill>
            <w14:solidFill>
              <w14:schemeClr w14:val="tx1"/>
            </w14:solidFill>
          </w14:textFill>
        </w:rPr>
        <w:t>0%</w:t>
      </w:r>
      <w:r>
        <w:rPr>
          <w:rFonts w:hint="eastAsia" w:ascii="仿宋" w:hAnsi="仿宋" w:eastAsia="仿宋"/>
          <w:b/>
          <w:color w:val="000000" w:themeColor="text1"/>
          <w:sz w:val="28"/>
          <w:szCs w:val="28"/>
          <w:highlight w:val="none"/>
          <w:lang w:eastAsia="zh-CN"/>
          <w14:textFill>
            <w14:solidFill>
              <w14:schemeClr w14:val="tx1"/>
            </w14:solidFill>
          </w14:textFill>
        </w:rPr>
        <w:t>。</w:t>
      </w:r>
      <w:r>
        <w:rPr>
          <w:rFonts w:hint="eastAsia" w:ascii="仿宋_GB2312" w:eastAsia="仿宋_GB2312"/>
          <w:sz w:val="28"/>
          <w:szCs w:val="28"/>
          <w:shd w:val="clear" w:color="auto" w:fill="FFFFFF"/>
        </w:rPr>
        <w:t>计算范围为本专业培养方案中前三学年的思政必修课、通识基础课、通识核心课、通识选修课、学科基础课、大类平台课、专业核心课、专业选修课、跨专业选修课、实验与实践课板块中企业管理经营决策模拟和军事技能课程。</w:t>
      </w:r>
      <w:r>
        <w:rPr>
          <w:rStyle w:val="14"/>
          <w:rFonts w:hint="eastAsia" w:ascii="仿宋_GB2312" w:hAnsi="仿宋" w:eastAsia="仿宋_GB2312" w:cs="仿宋"/>
          <w:color w:val="000000"/>
          <w:sz w:val="28"/>
          <w:szCs w:val="28"/>
          <w:shd w:val="clear" w:color="auto" w:fill="FFFFFF"/>
        </w:rPr>
        <w:footnoteReference w:id="3"/>
      </w:r>
      <w:r>
        <w:rPr>
          <w:rStyle w:val="14"/>
          <w:rFonts w:hint="eastAsia" w:ascii="仿宋_GB2312" w:hAnsi="仿宋" w:eastAsia="仿宋_GB2312" w:cs="仿宋"/>
          <w:color w:val="000000"/>
          <w:sz w:val="28"/>
          <w:szCs w:val="28"/>
          <w:shd w:val="clear" w:color="auto" w:fill="FFFFFF"/>
        </w:rPr>
        <w:footnoteReference w:id="4"/>
      </w:r>
      <w:r>
        <w:rPr>
          <w:rStyle w:val="14"/>
          <w:rFonts w:hint="eastAsia" w:ascii="仿宋_GB2312" w:hAnsi="仿宋" w:eastAsia="仿宋_GB2312" w:cs="仿宋"/>
          <w:color w:val="000000"/>
          <w:sz w:val="28"/>
          <w:szCs w:val="28"/>
          <w:shd w:val="clear" w:color="auto" w:fill="FFFFFF"/>
        </w:rPr>
        <w:footnoteReference w:id="5"/>
      </w:r>
    </w:p>
    <w:p w14:paraId="1F2D58F2">
      <w:pPr>
        <w:pStyle w:val="5"/>
        <w:spacing w:line="560" w:lineRule="exact"/>
        <w:ind w:firstLine="560" w:firstLineChars="200"/>
        <w:rPr>
          <w:rFonts w:hint="eastAsia" w:ascii="仿宋_GB2312" w:eastAsia="仿宋_GB2312"/>
          <w:lang w:eastAsia="zh-CN"/>
        </w:rPr>
      </w:pPr>
      <w:r>
        <w:rPr>
          <w:rFonts w:hint="eastAsia" w:ascii="仿宋_GB2312" w:eastAsia="仿宋_GB2312"/>
          <w:lang w:eastAsia="zh-CN"/>
        </w:rPr>
        <w:t>外出交流生应在申请推免生资格前，完成学分认定及成绩转换后参与成绩排名。</w:t>
      </w:r>
    </w:p>
    <w:p w14:paraId="29B9F383">
      <w:pPr>
        <w:pStyle w:val="5"/>
        <w:spacing w:line="560" w:lineRule="exact"/>
        <w:ind w:firstLine="562" w:firstLineChars="200"/>
        <w:rPr>
          <w:rFonts w:hint="eastAsia" w:ascii="黑体" w:hAnsi="黑体" w:eastAsia="黑体"/>
          <w:b/>
          <w:lang w:eastAsia="zh-CN"/>
        </w:rPr>
      </w:pPr>
      <w:r>
        <w:rPr>
          <w:rFonts w:hint="eastAsia" w:ascii="黑体" w:hAnsi="黑体" w:eastAsia="黑体"/>
          <w:b/>
          <w:lang w:eastAsia="zh-CN"/>
        </w:rPr>
        <w:t>三、综合能力加分</w:t>
      </w:r>
    </w:p>
    <w:p w14:paraId="5DBFB9E3">
      <w:pPr>
        <w:pStyle w:val="5"/>
        <w:spacing w:line="560" w:lineRule="exact"/>
        <w:ind w:firstLine="560" w:firstLineChars="200"/>
        <w:rPr>
          <w:rFonts w:hint="eastAsia" w:ascii="仿宋_GB2312" w:eastAsia="仿宋_GB2312"/>
          <w:lang w:eastAsia="zh-CN"/>
        </w:rPr>
      </w:pPr>
      <w:r>
        <w:rPr>
          <w:rFonts w:hint="eastAsia" w:ascii="仿宋_GB2312" w:eastAsia="仿宋_GB2312"/>
          <w:lang w:eastAsia="zh-CN"/>
        </w:rPr>
        <w:t>综合能力加分包括科研创新能力加分和素质能力加分两部分，满分100分。其中，科研创新能力加分包含科研成果类、创新创业类、学科竞赛类三方面，满分70分；素质能力包含政治品德荣誉、依法服兵役、体育运动、美育、劳动教育、社会实践与志愿服务等方面，满分30分。各类别设置一个或多个方面内容，学生在不同方面获得奖项可以累积加分，在同一方面中有多项加分情况时，只取最高一项（含该方面拔尖项目加分）。获得拔尖项目的，按照本办法之拔尖项目加分规则执行，加分计入综合能力总分。综合能力加分总分超过100分的按100分计。</w:t>
      </w:r>
    </w:p>
    <w:p w14:paraId="1EA643B5">
      <w:pPr>
        <w:pStyle w:val="4"/>
      </w:pPr>
      <w:r>
        <w:t>表1  各级别奖励加分设置</w:t>
      </w:r>
      <w:r>
        <w:fldChar w:fldCharType="begin"/>
      </w:r>
      <w:r>
        <w:instrText xml:space="preserve"> HYPERLINK \l "bookmark1" </w:instrText>
      </w:r>
      <w:r>
        <w:fldChar w:fldCharType="separate"/>
      </w:r>
      <w:r>
        <w:rPr>
          <w:position w:val="14"/>
        </w:rPr>
        <w:t>1</w:t>
      </w:r>
      <w:r>
        <w:rPr>
          <w:position w:val="14"/>
        </w:rPr>
        <w:fldChar w:fldCharType="end"/>
      </w:r>
    </w:p>
    <w:p w14:paraId="6B8040A2">
      <w:pPr>
        <w:spacing w:line="139" w:lineRule="auto"/>
        <w:rPr>
          <w:rFonts w:ascii="Arial"/>
          <w:sz w:val="2"/>
        </w:rPr>
      </w:pPr>
    </w:p>
    <w:tbl>
      <w:tblPr>
        <w:tblStyle w:val="1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11"/>
        <w:gridCol w:w="1507"/>
      </w:tblGrid>
      <w:tr w14:paraId="7D71B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94" w:type="pct"/>
            <w:vAlign w:val="center"/>
          </w:tcPr>
          <w:p w14:paraId="323C6470">
            <w:pPr>
              <w:pStyle w:val="15"/>
              <w:jc w:val="center"/>
              <w:rPr>
                <w:rFonts w:hint="eastAsia" w:ascii="仿宋_GB2312" w:eastAsia="仿宋_GB2312"/>
                <w:sz w:val="21"/>
                <w:szCs w:val="21"/>
              </w:rPr>
            </w:pPr>
            <w:r>
              <w:rPr>
                <w:rFonts w:hint="eastAsia" w:ascii="仿宋_GB2312" w:eastAsia="仿宋_GB2312"/>
                <w:sz w:val="21"/>
                <w:szCs w:val="21"/>
              </w:rPr>
              <w:t>等级</w:t>
            </w:r>
          </w:p>
        </w:tc>
        <w:tc>
          <w:tcPr>
            <w:tcW w:w="906" w:type="pct"/>
            <w:vAlign w:val="center"/>
          </w:tcPr>
          <w:p w14:paraId="51E5F195">
            <w:pPr>
              <w:pStyle w:val="15"/>
              <w:jc w:val="center"/>
              <w:rPr>
                <w:rFonts w:hint="eastAsia" w:ascii="仿宋_GB2312" w:eastAsia="仿宋_GB2312"/>
                <w:sz w:val="21"/>
                <w:szCs w:val="21"/>
              </w:rPr>
            </w:pPr>
            <w:r>
              <w:rPr>
                <w:rFonts w:hint="eastAsia" w:ascii="仿宋_GB2312" w:eastAsia="仿宋_GB2312"/>
                <w:sz w:val="21"/>
                <w:szCs w:val="21"/>
              </w:rPr>
              <w:t>加分</w:t>
            </w:r>
          </w:p>
        </w:tc>
      </w:tr>
      <w:tr w14:paraId="0A2E3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94" w:type="pct"/>
            <w:vAlign w:val="center"/>
          </w:tcPr>
          <w:p w14:paraId="0DF67B17">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国家级一等奖（或第一名）</w:t>
            </w:r>
          </w:p>
        </w:tc>
        <w:tc>
          <w:tcPr>
            <w:tcW w:w="906" w:type="pct"/>
            <w:vAlign w:val="center"/>
          </w:tcPr>
          <w:p w14:paraId="43DCD6EE">
            <w:pPr>
              <w:pStyle w:val="15"/>
              <w:jc w:val="center"/>
              <w:rPr>
                <w:rFonts w:hint="eastAsia" w:ascii="仿宋_GB2312" w:eastAsia="仿宋_GB2312"/>
                <w:sz w:val="21"/>
                <w:szCs w:val="21"/>
              </w:rPr>
            </w:pPr>
            <w:r>
              <w:rPr>
                <w:rFonts w:hint="eastAsia" w:ascii="仿宋_GB2312" w:eastAsia="仿宋_GB2312"/>
                <w:sz w:val="21"/>
                <w:szCs w:val="21"/>
              </w:rPr>
              <w:t>20分</w:t>
            </w:r>
          </w:p>
        </w:tc>
      </w:tr>
      <w:tr w14:paraId="17F75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94" w:type="pct"/>
            <w:vAlign w:val="center"/>
          </w:tcPr>
          <w:p w14:paraId="2AF77E0D">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国家级二等奖（或第二名）</w:t>
            </w:r>
          </w:p>
        </w:tc>
        <w:tc>
          <w:tcPr>
            <w:tcW w:w="906" w:type="pct"/>
            <w:vAlign w:val="center"/>
          </w:tcPr>
          <w:p w14:paraId="73AB916F">
            <w:pPr>
              <w:pStyle w:val="15"/>
              <w:jc w:val="center"/>
              <w:rPr>
                <w:rFonts w:hint="eastAsia" w:ascii="仿宋_GB2312" w:eastAsia="仿宋_GB2312"/>
                <w:sz w:val="21"/>
                <w:szCs w:val="21"/>
              </w:rPr>
            </w:pPr>
            <w:r>
              <w:rPr>
                <w:rFonts w:hint="eastAsia" w:ascii="仿宋_GB2312" w:eastAsia="仿宋_GB2312"/>
                <w:sz w:val="21"/>
                <w:szCs w:val="21"/>
              </w:rPr>
              <w:t>15分</w:t>
            </w:r>
          </w:p>
        </w:tc>
      </w:tr>
      <w:tr w14:paraId="3C38B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94" w:type="pct"/>
            <w:vAlign w:val="center"/>
          </w:tcPr>
          <w:p w14:paraId="060EBBA8">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国家级三等奖（或第三名）</w:t>
            </w:r>
          </w:p>
        </w:tc>
        <w:tc>
          <w:tcPr>
            <w:tcW w:w="906" w:type="pct"/>
            <w:vAlign w:val="center"/>
          </w:tcPr>
          <w:p w14:paraId="7E41C53D">
            <w:pPr>
              <w:pStyle w:val="15"/>
              <w:jc w:val="center"/>
              <w:rPr>
                <w:rFonts w:hint="eastAsia" w:ascii="仿宋_GB2312" w:eastAsia="仿宋_GB2312"/>
                <w:sz w:val="21"/>
                <w:szCs w:val="21"/>
              </w:rPr>
            </w:pPr>
            <w:r>
              <w:rPr>
                <w:rFonts w:hint="eastAsia" w:ascii="仿宋_GB2312" w:eastAsia="仿宋_GB2312"/>
                <w:sz w:val="21"/>
                <w:szCs w:val="21"/>
              </w:rPr>
              <w:t>12分</w:t>
            </w:r>
          </w:p>
        </w:tc>
      </w:tr>
      <w:tr w14:paraId="71FF2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94" w:type="pct"/>
            <w:vAlign w:val="center"/>
          </w:tcPr>
          <w:p w14:paraId="6602C8FF">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有国家级特等奖的情况下，国家级三等奖按国家级四等奖加分</w:t>
            </w:r>
          </w:p>
        </w:tc>
        <w:tc>
          <w:tcPr>
            <w:tcW w:w="906" w:type="pct"/>
            <w:vAlign w:val="center"/>
          </w:tcPr>
          <w:p w14:paraId="13E5CD3C">
            <w:pPr>
              <w:pStyle w:val="15"/>
              <w:jc w:val="center"/>
              <w:rPr>
                <w:rFonts w:hint="eastAsia" w:ascii="仿宋_GB2312" w:eastAsia="仿宋_GB2312"/>
                <w:sz w:val="21"/>
                <w:szCs w:val="21"/>
              </w:rPr>
            </w:pPr>
            <w:r>
              <w:rPr>
                <w:rFonts w:hint="eastAsia" w:ascii="仿宋_GB2312" w:eastAsia="仿宋_GB2312"/>
                <w:sz w:val="21"/>
                <w:szCs w:val="21"/>
              </w:rPr>
              <w:t>10分</w:t>
            </w:r>
          </w:p>
        </w:tc>
      </w:tr>
      <w:tr w14:paraId="3467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94" w:type="pct"/>
            <w:vAlign w:val="center"/>
          </w:tcPr>
          <w:p w14:paraId="659B0A60">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省级一等奖（或第一名）</w:t>
            </w:r>
          </w:p>
        </w:tc>
        <w:tc>
          <w:tcPr>
            <w:tcW w:w="906" w:type="pct"/>
            <w:vAlign w:val="center"/>
          </w:tcPr>
          <w:p w14:paraId="07E9EE4E">
            <w:pPr>
              <w:pStyle w:val="15"/>
              <w:jc w:val="center"/>
              <w:rPr>
                <w:rFonts w:hint="eastAsia" w:ascii="仿宋_GB2312" w:eastAsia="仿宋_GB2312"/>
                <w:sz w:val="21"/>
                <w:szCs w:val="21"/>
              </w:rPr>
            </w:pPr>
            <w:r>
              <w:rPr>
                <w:rFonts w:hint="eastAsia" w:ascii="仿宋_GB2312" w:eastAsia="仿宋_GB2312"/>
                <w:sz w:val="21"/>
                <w:szCs w:val="21"/>
              </w:rPr>
              <w:t>10分</w:t>
            </w:r>
          </w:p>
        </w:tc>
      </w:tr>
      <w:tr w14:paraId="6BED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94" w:type="pct"/>
            <w:vAlign w:val="center"/>
          </w:tcPr>
          <w:p w14:paraId="0CA08ED2">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省级二等奖（或第二名）</w:t>
            </w:r>
          </w:p>
        </w:tc>
        <w:tc>
          <w:tcPr>
            <w:tcW w:w="906" w:type="pct"/>
            <w:vAlign w:val="center"/>
          </w:tcPr>
          <w:p w14:paraId="0693B75B">
            <w:pPr>
              <w:pStyle w:val="15"/>
              <w:jc w:val="center"/>
              <w:rPr>
                <w:rFonts w:hint="eastAsia" w:ascii="仿宋_GB2312" w:eastAsia="仿宋_GB2312"/>
                <w:sz w:val="21"/>
                <w:szCs w:val="21"/>
              </w:rPr>
            </w:pPr>
            <w:r>
              <w:rPr>
                <w:rFonts w:hint="eastAsia" w:ascii="仿宋_GB2312" w:eastAsia="仿宋_GB2312"/>
                <w:sz w:val="21"/>
                <w:szCs w:val="21"/>
              </w:rPr>
              <w:t>5分</w:t>
            </w:r>
          </w:p>
        </w:tc>
      </w:tr>
      <w:tr w14:paraId="531C2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94" w:type="pct"/>
            <w:vAlign w:val="center"/>
          </w:tcPr>
          <w:p w14:paraId="1AE5E4F7">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省级三等奖（或第三名）</w:t>
            </w:r>
          </w:p>
        </w:tc>
        <w:tc>
          <w:tcPr>
            <w:tcW w:w="906" w:type="pct"/>
            <w:vAlign w:val="center"/>
          </w:tcPr>
          <w:p w14:paraId="008D9866">
            <w:pPr>
              <w:pStyle w:val="15"/>
              <w:jc w:val="center"/>
              <w:rPr>
                <w:rFonts w:hint="eastAsia" w:ascii="仿宋_GB2312" w:eastAsia="仿宋_GB2312"/>
                <w:sz w:val="21"/>
                <w:szCs w:val="21"/>
              </w:rPr>
            </w:pPr>
            <w:r>
              <w:rPr>
                <w:rFonts w:hint="eastAsia" w:ascii="仿宋_GB2312" w:eastAsia="仿宋_GB2312"/>
                <w:sz w:val="21"/>
                <w:szCs w:val="21"/>
              </w:rPr>
              <w:t>4分</w:t>
            </w:r>
          </w:p>
        </w:tc>
      </w:tr>
      <w:tr w14:paraId="10512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94" w:type="pct"/>
            <w:vAlign w:val="center"/>
          </w:tcPr>
          <w:p w14:paraId="7AB0C73E">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有省级特等奖的情况下，省级三等奖按省级四等奖加分</w:t>
            </w:r>
          </w:p>
        </w:tc>
        <w:tc>
          <w:tcPr>
            <w:tcW w:w="906" w:type="pct"/>
            <w:vAlign w:val="center"/>
          </w:tcPr>
          <w:p w14:paraId="6AD88AC9">
            <w:pPr>
              <w:pStyle w:val="15"/>
              <w:jc w:val="center"/>
              <w:rPr>
                <w:rFonts w:hint="eastAsia" w:ascii="仿宋_GB2312" w:eastAsia="仿宋_GB2312"/>
                <w:sz w:val="21"/>
                <w:szCs w:val="21"/>
              </w:rPr>
            </w:pPr>
            <w:r>
              <w:rPr>
                <w:rFonts w:hint="eastAsia" w:ascii="仿宋_GB2312" w:eastAsia="仿宋_GB2312"/>
                <w:sz w:val="21"/>
                <w:szCs w:val="21"/>
              </w:rPr>
              <w:t>3分</w:t>
            </w:r>
          </w:p>
        </w:tc>
      </w:tr>
      <w:tr w14:paraId="2D7C4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94" w:type="pct"/>
            <w:vAlign w:val="center"/>
          </w:tcPr>
          <w:p w14:paraId="140CE9D3">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校级一等奖（或第一名）</w:t>
            </w:r>
          </w:p>
        </w:tc>
        <w:tc>
          <w:tcPr>
            <w:tcW w:w="906" w:type="pct"/>
            <w:vAlign w:val="center"/>
          </w:tcPr>
          <w:p w14:paraId="4E730464">
            <w:pPr>
              <w:pStyle w:val="15"/>
              <w:jc w:val="center"/>
              <w:rPr>
                <w:rFonts w:hint="eastAsia" w:ascii="仿宋_GB2312" w:eastAsia="仿宋_GB2312"/>
                <w:sz w:val="21"/>
                <w:szCs w:val="21"/>
              </w:rPr>
            </w:pPr>
            <w:r>
              <w:rPr>
                <w:rFonts w:hint="eastAsia" w:ascii="仿宋_GB2312" w:eastAsia="仿宋_GB2312"/>
                <w:sz w:val="21"/>
                <w:szCs w:val="21"/>
              </w:rPr>
              <w:t>3分</w:t>
            </w:r>
          </w:p>
        </w:tc>
      </w:tr>
      <w:tr w14:paraId="0F733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4094" w:type="pct"/>
            <w:vAlign w:val="center"/>
          </w:tcPr>
          <w:p w14:paraId="13DA296F">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校级二等奖（或第二名）</w:t>
            </w:r>
          </w:p>
        </w:tc>
        <w:tc>
          <w:tcPr>
            <w:tcW w:w="906" w:type="pct"/>
            <w:vAlign w:val="center"/>
          </w:tcPr>
          <w:p w14:paraId="33744B23">
            <w:pPr>
              <w:pStyle w:val="15"/>
              <w:jc w:val="center"/>
              <w:rPr>
                <w:rFonts w:hint="eastAsia" w:ascii="仿宋_GB2312" w:eastAsia="仿宋_GB2312"/>
                <w:sz w:val="21"/>
                <w:szCs w:val="21"/>
              </w:rPr>
            </w:pPr>
            <w:r>
              <w:rPr>
                <w:rFonts w:hint="eastAsia" w:ascii="仿宋_GB2312" w:eastAsia="仿宋_GB2312"/>
                <w:sz w:val="21"/>
                <w:szCs w:val="21"/>
              </w:rPr>
              <w:t>2分</w:t>
            </w:r>
          </w:p>
        </w:tc>
      </w:tr>
      <w:tr w14:paraId="02F83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94" w:type="pct"/>
            <w:vAlign w:val="center"/>
          </w:tcPr>
          <w:p w14:paraId="53693CFF">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校级三等奖（或第三名）</w:t>
            </w:r>
          </w:p>
        </w:tc>
        <w:tc>
          <w:tcPr>
            <w:tcW w:w="906" w:type="pct"/>
            <w:vAlign w:val="center"/>
          </w:tcPr>
          <w:p w14:paraId="0755D5D0">
            <w:pPr>
              <w:pStyle w:val="15"/>
              <w:jc w:val="center"/>
              <w:rPr>
                <w:rFonts w:hint="eastAsia" w:ascii="仿宋_GB2312" w:eastAsia="仿宋_GB2312"/>
                <w:sz w:val="21"/>
                <w:szCs w:val="21"/>
              </w:rPr>
            </w:pPr>
            <w:r>
              <w:rPr>
                <w:rFonts w:hint="eastAsia" w:ascii="仿宋_GB2312" w:eastAsia="仿宋_GB2312"/>
                <w:sz w:val="21"/>
                <w:szCs w:val="21"/>
              </w:rPr>
              <w:t>1分</w:t>
            </w:r>
          </w:p>
        </w:tc>
      </w:tr>
    </w:tbl>
    <w:p w14:paraId="6293838F">
      <w:pPr>
        <w:spacing w:line="560" w:lineRule="exact"/>
        <w:ind w:firstLine="562" w:firstLineChars="200"/>
        <w:rPr>
          <w:rFonts w:hint="eastAsia" w:ascii="仿宋_GB2312" w:eastAsia="仿宋_GB2312"/>
          <w:b/>
          <w:sz w:val="28"/>
          <w:szCs w:val="28"/>
        </w:rPr>
      </w:pPr>
      <w:r>
        <w:rPr>
          <w:rFonts w:hint="eastAsia" w:ascii="仿宋_GB2312" w:eastAsia="仿宋_GB2312"/>
          <w:b/>
          <w:sz w:val="28"/>
          <w:szCs w:val="28"/>
        </w:rPr>
        <w:t>（一）科研创新能力加分</w:t>
      </w:r>
    </w:p>
    <w:p w14:paraId="1C5207C6">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科研创新能力加分包含科研成果类、创新创业类和学科竞赛类，其满分不超过70分，且校级奖励加分不超过9分。</w:t>
      </w:r>
    </w:p>
    <w:p w14:paraId="4C607916">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1.科研成果类</w:t>
      </w:r>
    </w:p>
    <w:p w14:paraId="2C1213A4">
      <w:pPr>
        <w:spacing w:line="560" w:lineRule="exact"/>
        <w:ind w:firstLine="560" w:firstLineChars="200"/>
        <w:rPr>
          <w:rFonts w:hint="eastAsia" w:ascii="仿宋_GB2312" w:eastAsia="仿宋_GB2312"/>
          <w:spacing w:val="-4"/>
          <w:sz w:val="28"/>
          <w:szCs w:val="28"/>
        </w:rPr>
      </w:pPr>
      <w:r>
        <w:rPr>
          <w:rFonts w:hint="eastAsia" w:ascii="仿宋_GB2312" w:eastAsia="仿宋_GB2312"/>
          <w:sz w:val="28"/>
          <w:szCs w:val="28"/>
        </w:rPr>
        <w:t>科</w:t>
      </w:r>
      <w:r>
        <w:rPr>
          <w:rFonts w:hint="eastAsia" w:ascii="仿宋_GB2312" w:eastAsia="仿宋_GB2312"/>
          <w:spacing w:val="-4"/>
          <w:sz w:val="28"/>
          <w:szCs w:val="28"/>
        </w:rPr>
        <w:t>研成果类主要包含学术论文、专利、科研训练项目等方面。学术论文仅限学生本科阶段在核心期刊上以独立作者或第一作者发表的与学业相关的科研论文；论文原则上只认定发表于《西南财经大学学术期刊目录》的中英文论文及《人民日报》《光明日报》理论版文</w:t>
      </w:r>
      <w:bookmarkStart w:id="0" w:name="bookmark1"/>
      <w:bookmarkEnd w:id="0"/>
      <w:r>
        <w:rPr>
          <w:rFonts w:hint="eastAsia" w:ascii="仿宋_GB2312" w:eastAsia="仿宋_GB2312"/>
          <w:spacing w:val="-4"/>
          <w:sz w:val="28"/>
          <w:szCs w:val="28"/>
        </w:rPr>
        <w:t>章。</w:t>
      </w:r>
    </w:p>
    <w:p w14:paraId="4C883B77">
      <w:pPr>
        <w:spacing w:line="287" w:lineRule="auto"/>
        <w:rPr>
          <w:rFonts w:ascii="Arial"/>
        </w:rPr>
      </w:pPr>
    </w:p>
    <w:p w14:paraId="346F164C">
      <w:pPr>
        <w:spacing w:line="288" w:lineRule="auto"/>
        <w:rPr>
          <w:rFonts w:ascii="Arial"/>
        </w:rPr>
      </w:pPr>
      <w: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114935</wp:posOffset>
                </wp:positionV>
                <wp:extent cx="1828800" cy="0"/>
                <wp:effectExtent l="4445" t="4445" r="5080" b="5080"/>
                <wp:wrapNone/>
                <wp:docPr id="1" name="任意多边形 1"/>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8pt;margin-top:9.05pt;height:0pt;width:144pt;z-index:251659264;mso-width-relative:page;mso-height-relative:page;" filled="f" stroked="t" coordsize="2880,1" o:gfxdata="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mcA9X0gAAAAcBAAAPAAAAAAAAAAEAIAAAACIAAABkcnMvZG93bnJldi54bWxQSwECFAAUAAAA&#10;CACHTuJAX9XUry0CAACoBAAADgAAAAAAAAABACAAAAAhAQAAZHJzL2Uyb0RvYy54bWxQSwUGAAAA&#10;AAYABgBZAQAAwAUAAAAA&#10;" path="m0,0l2880,0e">
                <v:fill on="f" focussize="0,0"/>
                <v:stroke weight="0pt" color="#000000" joinstyle="bevel" endcap="square"/>
                <v:imagedata o:title=""/>
                <o:lock v:ext="edit" aspectratio="f"/>
              </v:shape>
            </w:pict>
          </mc:Fallback>
        </mc:AlternateContent>
      </w:r>
    </w:p>
    <w:p w14:paraId="24B7262C">
      <w:pPr>
        <w:rPr>
          <w:rFonts w:hint="eastAsia" w:ascii="仿宋_GB2312" w:hAnsi="华文中宋" w:eastAsia="仿宋_GB2312" w:cs="华文中宋"/>
          <w:szCs w:val="21"/>
        </w:rPr>
      </w:pPr>
      <w:r>
        <w:rPr>
          <w:rFonts w:hint="eastAsia" w:ascii="仿宋_GB2312" w:hAnsi="华文中宋" w:eastAsia="仿宋_GB2312" w:cs="华文中宋"/>
          <w:szCs w:val="21"/>
        </w:rPr>
        <w:t>1.其他由党、政、军、团等组织主办或举办，非政府组织主办的各类竞赛或活动获奖情况由学院工作领导小组核定后予以级别认定并相应评分。</w:t>
      </w:r>
    </w:p>
    <w:p w14:paraId="2140212E">
      <w:pPr>
        <w:rPr>
          <w:rFonts w:hint="eastAsia" w:ascii="仿宋_GB2312" w:hAnsi="华文中宋" w:eastAsia="仿宋_GB2312" w:cs="华文中宋"/>
          <w:szCs w:val="21"/>
        </w:rPr>
      </w:pPr>
      <w:r>
        <w:rPr>
          <w:rFonts w:hint="eastAsia" w:ascii="仿宋_GB2312" w:hAnsi="华文中宋" w:eastAsia="仿宋_GB2312" w:cs="华文中宋"/>
          <w:szCs w:val="21"/>
        </w:rPr>
        <w:t>2.一等奖含第一名、金奖；二等奖含第二名、银奖；三等奖含第三名、铜奖。</w:t>
      </w:r>
    </w:p>
    <w:p w14:paraId="6F534342">
      <w:pPr>
        <w:rPr>
          <w:rFonts w:hint="eastAsia" w:ascii="仿宋_GB2312" w:hAnsi="华文中宋" w:eastAsia="仿宋_GB2312" w:cs="华文中宋"/>
          <w:szCs w:val="21"/>
        </w:rPr>
        <w:sectPr>
          <w:pgSz w:w="11906" w:h="16839"/>
          <w:pgMar w:top="1440" w:right="1797" w:bottom="1440" w:left="1797" w:header="851" w:footer="992" w:gutter="0"/>
          <w:cols w:space="720" w:num="1"/>
        </w:sectPr>
      </w:pPr>
    </w:p>
    <w:p w14:paraId="68482FCA">
      <w:pPr>
        <w:pStyle w:val="4"/>
      </w:pPr>
      <w:r>
        <w:t>表2</w:t>
      </w:r>
      <w:r>
        <w:rPr>
          <w:rFonts w:hint="eastAsia"/>
        </w:rPr>
        <w:t xml:space="preserve"> </w:t>
      </w:r>
      <w:r>
        <w:t xml:space="preserve"> 科研成果加分认定标准</w:t>
      </w:r>
    </w:p>
    <w:tbl>
      <w:tblPr>
        <w:tblStyle w:val="1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68"/>
        <w:gridCol w:w="5134"/>
        <w:gridCol w:w="1278"/>
        <w:gridCol w:w="938"/>
      </w:tblGrid>
      <w:tr w14:paraId="64DD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82" w:type="pct"/>
            <w:vAlign w:val="center"/>
          </w:tcPr>
          <w:p w14:paraId="1DC1FA7C">
            <w:pPr>
              <w:pStyle w:val="15"/>
              <w:jc w:val="center"/>
              <w:rPr>
                <w:rFonts w:hint="eastAsia" w:ascii="仿宋_GB2312" w:eastAsia="仿宋_GB2312"/>
                <w:sz w:val="21"/>
                <w:szCs w:val="21"/>
              </w:rPr>
            </w:pPr>
            <w:r>
              <w:rPr>
                <w:rFonts w:hint="eastAsia" w:ascii="仿宋_GB2312" w:eastAsia="仿宋_GB2312"/>
                <w:sz w:val="21"/>
                <w:szCs w:val="21"/>
              </w:rPr>
              <w:t>方面</w:t>
            </w:r>
          </w:p>
        </w:tc>
        <w:tc>
          <w:tcPr>
            <w:tcW w:w="3853" w:type="pct"/>
            <w:gridSpan w:val="2"/>
            <w:vAlign w:val="center"/>
          </w:tcPr>
          <w:p w14:paraId="35B31E92">
            <w:pPr>
              <w:pStyle w:val="15"/>
              <w:jc w:val="center"/>
              <w:rPr>
                <w:rFonts w:hint="eastAsia" w:ascii="仿宋_GB2312" w:eastAsia="仿宋_GB2312"/>
                <w:sz w:val="21"/>
                <w:szCs w:val="21"/>
              </w:rPr>
            </w:pPr>
            <w:r>
              <w:rPr>
                <w:rFonts w:hint="eastAsia" w:ascii="仿宋_GB2312" w:eastAsia="仿宋_GB2312"/>
                <w:sz w:val="21"/>
                <w:szCs w:val="21"/>
              </w:rPr>
              <w:t>要求</w:t>
            </w:r>
          </w:p>
        </w:tc>
        <w:tc>
          <w:tcPr>
            <w:tcW w:w="565" w:type="pct"/>
            <w:vAlign w:val="center"/>
          </w:tcPr>
          <w:p w14:paraId="33A8915E">
            <w:pPr>
              <w:pStyle w:val="15"/>
              <w:jc w:val="center"/>
              <w:rPr>
                <w:rFonts w:hint="eastAsia" w:ascii="仿宋_GB2312" w:eastAsia="仿宋_GB2312"/>
                <w:sz w:val="21"/>
                <w:szCs w:val="21"/>
              </w:rPr>
            </w:pPr>
            <w:r>
              <w:rPr>
                <w:rFonts w:hint="eastAsia" w:ascii="仿宋_GB2312" w:eastAsia="仿宋_GB2312"/>
                <w:sz w:val="21"/>
                <w:szCs w:val="21"/>
              </w:rPr>
              <w:t>加分</w:t>
            </w:r>
          </w:p>
        </w:tc>
      </w:tr>
      <w:tr w14:paraId="1B3A4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82" w:type="pct"/>
            <w:vMerge w:val="restart"/>
            <w:tcBorders>
              <w:bottom w:val="nil"/>
            </w:tcBorders>
            <w:vAlign w:val="center"/>
          </w:tcPr>
          <w:p w14:paraId="6E4C0801">
            <w:pPr>
              <w:pStyle w:val="15"/>
              <w:jc w:val="center"/>
              <w:rPr>
                <w:rFonts w:hint="eastAsia" w:ascii="仿宋_GB2312" w:eastAsia="仿宋_GB2312"/>
                <w:sz w:val="21"/>
                <w:szCs w:val="21"/>
              </w:rPr>
            </w:pPr>
            <w:r>
              <w:rPr>
                <w:rFonts w:hint="eastAsia" w:ascii="仿宋_GB2312" w:eastAsia="仿宋_GB2312"/>
                <w:sz w:val="21"/>
                <w:szCs w:val="21"/>
              </w:rPr>
              <w:t>学术论文方面</w:t>
            </w:r>
          </w:p>
        </w:tc>
        <w:tc>
          <w:tcPr>
            <w:tcW w:w="3086" w:type="pct"/>
            <w:vMerge w:val="restart"/>
            <w:tcBorders>
              <w:bottom w:val="nil"/>
            </w:tcBorders>
            <w:vAlign w:val="center"/>
          </w:tcPr>
          <w:p w14:paraId="75DC07AB">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以独立作者或第一作者发表的与学业相关的科研论文，发表于《西南财经大学学术期刊目录》的中英文论文及《人民日报》《光明日报》理论版文章；证明材料需为已经出版的刊物报纸；用稿通知无效。</w:t>
            </w:r>
          </w:p>
        </w:tc>
        <w:tc>
          <w:tcPr>
            <w:tcW w:w="768" w:type="pct"/>
            <w:vAlign w:val="center"/>
          </w:tcPr>
          <w:p w14:paraId="151F2E53">
            <w:pPr>
              <w:pStyle w:val="15"/>
              <w:jc w:val="center"/>
              <w:rPr>
                <w:rFonts w:hint="eastAsia" w:ascii="仿宋_GB2312" w:eastAsia="仿宋_GB2312"/>
                <w:sz w:val="21"/>
                <w:szCs w:val="21"/>
              </w:rPr>
            </w:pPr>
            <w:r>
              <w:rPr>
                <w:rFonts w:hint="eastAsia" w:ascii="仿宋_GB2312" w:eastAsia="仿宋_GB2312"/>
                <w:sz w:val="21"/>
                <w:szCs w:val="21"/>
              </w:rPr>
              <w:t>论文等级</w:t>
            </w:r>
          </w:p>
        </w:tc>
        <w:tc>
          <w:tcPr>
            <w:tcW w:w="565" w:type="pct"/>
            <w:vAlign w:val="center"/>
          </w:tcPr>
          <w:p w14:paraId="6840DBB9">
            <w:pPr>
              <w:pStyle w:val="15"/>
              <w:jc w:val="center"/>
              <w:rPr>
                <w:rFonts w:hint="eastAsia" w:ascii="仿宋_GB2312" w:eastAsia="仿宋_GB2312"/>
                <w:sz w:val="21"/>
                <w:szCs w:val="21"/>
              </w:rPr>
            </w:pPr>
            <w:r>
              <w:rPr>
                <w:rFonts w:hint="eastAsia" w:ascii="仿宋_GB2312" w:eastAsia="仿宋_GB2312"/>
                <w:sz w:val="21"/>
                <w:szCs w:val="21"/>
              </w:rPr>
              <w:t>分值</w:t>
            </w:r>
          </w:p>
        </w:tc>
      </w:tr>
      <w:tr w14:paraId="5DE51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82" w:type="pct"/>
            <w:vMerge w:val="continue"/>
            <w:tcBorders>
              <w:top w:val="nil"/>
              <w:bottom w:val="nil"/>
            </w:tcBorders>
            <w:vAlign w:val="center"/>
          </w:tcPr>
          <w:p w14:paraId="253DDE39">
            <w:pPr>
              <w:jc w:val="center"/>
              <w:rPr>
                <w:rFonts w:hint="eastAsia" w:ascii="仿宋_GB2312" w:eastAsia="仿宋_GB2312"/>
                <w:szCs w:val="21"/>
              </w:rPr>
            </w:pPr>
          </w:p>
        </w:tc>
        <w:tc>
          <w:tcPr>
            <w:tcW w:w="3086" w:type="pct"/>
            <w:vMerge w:val="continue"/>
            <w:tcBorders>
              <w:top w:val="nil"/>
              <w:bottom w:val="nil"/>
            </w:tcBorders>
            <w:vAlign w:val="center"/>
          </w:tcPr>
          <w:p w14:paraId="5183096C">
            <w:pPr>
              <w:jc w:val="center"/>
              <w:rPr>
                <w:rFonts w:hint="eastAsia" w:ascii="仿宋_GB2312" w:eastAsia="仿宋_GB2312"/>
                <w:szCs w:val="21"/>
              </w:rPr>
            </w:pPr>
          </w:p>
        </w:tc>
        <w:tc>
          <w:tcPr>
            <w:tcW w:w="768" w:type="pct"/>
            <w:vAlign w:val="center"/>
          </w:tcPr>
          <w:p w14:paraId="2B0D5079">
            <w:pPr>
              <w:pStyle w:val="15"/>
              <w:jc w:val="center"/>
              <w:rPr>
                <w:rFonts w:hint="eastAsia" w:ascii="仿宋_GB2312" w:eastAsia="仿宋_GB2312"/>
                <w:sz w:val="21"/>
                <w:szCs w:val="21"/>
              </w:rPr>
            </w:pPr>
            <w:r>
              <w:rPr>
                <w:rFonts w:hint="eastAsia" w:ascii="仿宋_GB2312" w:eastAsia="仿宋_GB2312"/>
                <w:sz w:val="21"/>
                <w:szCs w:val="21"/>
              </w:rPr>
              <w:t>A+</w:t>
            </w:r>
          </w:p>
        </w:tc>
        <w:tc>
          <w:tcPr>
            <w:tcW w:w="565" w:type="pct"/>
            <w:vAlign w:val="center"/>
          </w:tcPr>
          <w:p w14:paraId="38D4FC70">
            <w:pPr>
              <w:pStyle w:val="15"/>
              <w:jc w:val="center"/>
              <w:rPr>
                <w:rFonts w:hint="eastAsia" w:ascii="仿宋_GB2312" w:eastAsia="仿宋_GB2312"/>
                <w:sz w:val="21"/>
                <w:szCs w:val="21"/>
              </w:rPr>
            </w:pPr>
            <w:r>
              <w:rPr>
                <w:rFonts w:hint="eastAsia" w:ascii="仿宋_GB2312" w:eastAsia="仿宋_GB2312"/>
                <w:sz w:val="21"/>
                <w:szCs w:val="21"/>
              </w:rPr>
              <w:t>50</w:t>
            </w:r>
          </w:p>
        </w:tc>
      </w:tr>
      <w:tr w14:paraId="73950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82" w:type="pct"/>
            <w:vMerge w:val="continue"/>
            <w:tcBorders>
              <w:top w:val="nil"/>
              <w:bottom w:val="nil"/>
            </w:tcBorders>
            <w:vAlign w:val="center"/>
          </w:tcPr>
          <w:p w14:paraId="39A1A076">
            <w:pPr>
              <w:jc w:val="center"/>
              <w:rPr>
                <w:rFonts w:hint="eastAsia" w:ascii="仿宋_GB2312" w:eastAsia="仿宋_GB2312"/>
                <w:szCs w:val="21"/>
              </w:rPr>
            </w:pPr>
          </w:p>
        </w:tc>
        <w:tc>
          <w:tcPr>
            <w:tcW w:w="3086" w:type="pct"/>
            <w:vMerge w:val="continue"/>
            <w:tcBorders>
              <w:top w:val="nil"/>
              <w:bottom w:val="nil"/>
            </w:tcBorders>
            <w:vAlign w:val="center"/>
          </w:tcPr>
          <w:p w14:paraId="08959D05">
            <w:pPr>
              <w:jc w:val="center"/>
              <w:rPr>
                <w:rFonts w:hint="eastAsia" w:ascii="仿宋_GB2312" w:eastAsia="仿宋_GB2312"/>
                <w:szCs w:val="21"/>
              </w:rPr>
            </w:pPr>
          </w:p>
        </w:tc>
        <w:tc>
          <w:tcPr>
            <w:tcW w:w="768" w:type="pct"/>
            <w:vAlign w:val="center"/>
          </w:tcPr>
          <w:p w14:paraId="6EB58D99">
            <w:pPr>
              <w:pStyle w:val="15"/>
              <w:jc w:val="center"/>
              <w:rPr>
                <w:rFonts w:hint="eastAsia" w:ascii="仿宋_GB2312" w:eastAsia="仿宋_GB2312"/>
                <w:sz w:val="21"/>
                <w:szCs w:val="21"/>
              </w:rPr>
            </w:pPr>
            <w:r>
              <w:rPr>
                <w:rFonts w:hint="eastAsia" w:ascii="仿宋_GB2312" w:eastAsia="仿宋_GB2312"/>
                <w:sz w:val="21"/>
                <w:szCs w:val="21"/>
              </w:rPr>
              <w:t>A</w:t>
            </w:r>
          </w:p>
        </w:tc>
        <w:tc>
          <w:tcPr>
            <w:tcW w:w="565" w:type="pct"/>
            <w:vAlign w:val="center"/>
          </w:tcPr>
          <w:p w14:paraId="46061D0B">
            <w:pPr>
              <w:pStyle w:val="15"/>
              <w:jc w:val="center"/>
              <w:rPr>
                <w:rFonts w:hint="eastAsia" w:ascii="仿宋_GB2312" w:eastAsia="仿宋_GB2312"/>
                <w:sz w:val="21"/>
                <w:szCs w:val="21"/>
              </w:rPr>
            </w:pPr>
            <w:r>
              <w:rPr>
                <w:rFonts w:hint="eastAsia" w:ascii="仿宋_GB2312" w:eastAsia="仿宋_GB2312"/>
                <w:sz w:val="21"/>
                <w:szCs w:val="21"/>
              </w:rPr>
              <w:t>25</w:t>
            </w:r>
          </w:p>
        </w:tc>
      </w:tr>
      <w:tr w14:paraId="1C39D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82" w:type="pct"/>
            <w:vMerge w:val="continue"/>
            <w:tcBorders>
              <w:top w:val="nil"/>
              <w:bottom w:val="nil"/>
            </w:tcBorders>
            <w:vAlign w:val="center"/>
          </w:tcPr>
          <w:p w14:paraId="38837FC7">
            <w:pPr>
              <w:jc w:val="center"/>
              <w:rPr>
                <w:rFonts w:hint="eastAsia" w:ascii="仿宋_GB2312" w:eastAsia="仿宋_GB2312"/>
                <w:szCs w:val="21"/>
              </w:rPr>
            </w:pPr>
          </w:p>
        </w:tc>
        <w:tc>
          <w:tcPr>
            <w:tcW w:w="3086" w:type="pct"/>
            <w:vMerge w:val="continue"/>
            <w:tcBorders>
              <w:top w:val="nil"/>
              <w:bottom w:val="nil"/>
            </w:tcBorders>
            <w:vAlign w:val="center"/>
          </w:tcPr>
          <w:p w14:paraId="27C9B50F">
            <w:pPr>
              <w:jc w:val="center"/>
              <w:rPr>
                <w:rFonts w:hint="eastAsia" w:ascii="仿宋_GB2312" w:eastAsia="仿宋_GB2312"/>
                <w:szCs w:val="21"/>
              </w:rPr>
            </w:pPr>
          </w:p>
        </w:tc>
        <w:tc>
          <w:tcPr>
            <w:tcW w:w="768" w:type="pct"/>
            <w:vAlign w:val="center"/>
          </w:tcPr>
          <w:p w14:paraId="0033CA08">
            <w:pPr>
              <w:pStyle w:val="15"/>
              <w:jc w:val="center"/>
              <w:rPr>
                <w:rFonts w:hint="eastAsia" w:ascii="仿宋_GB2312" w:eastAsia="仿宋_GB2312"/>
                <w:sz w:val="21"/>
                <w:szCs w:val="21"/>
              </w:rPr>
            </w:pPr>
            <w:r>
              <w:rPr>
                <w:rFonts w:hint="eastAsia" w:ascii="仿宋_GB2312" w:eastAsia="仿宋_GB2312"/>
                <w:sz w:val="21"/>
                <w:szCs w:val="21"/>
              </w:rPr>
              <w:t>B</w:t>
            </w:r>
          </w:p>
        </w:tc>
        <w:tc>
          <w:tcPr>
            <w:tcW w:w="565" w:type="pct"/>
            <w:vAlign w:val="center"/>
          </w:tcPr>
          <w:p w14:paraId="5DDA569E">
            <w:pPr>
              <w:pStyle w:val="15"/>
              <w:jc w:val="center"/>
              <w:rPr>
                <w:rFonts w:hint="eastAsia" w:ascii="仿宋_GB2312" w:eastAsia="仿宋_GB2312"/>
                <w:sz w:val="21"/>
                <w:szCs w:val="21"/>
              </w:rPr>
            </w:pPr>
            <w:r>
              <w:rPr>
                <w:rFonts w:hint="eastAsia" w:ascii="仿宋_GB2312" w:eastAsia="仿宋_GB2312"/>
                <w:sz w:val="21"/>
                <w:szCs w:val="21"/>
              </w:rPr>
              <w:t>15</w:t>
            </w:r>
          </w:p>
        </w:tc>
      </w:tr>
      <w:tr w14:paraId="1272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82" w:type="pct"/>
            <w:vMerge w:val="continue"/>
            <w:tcBorders>
              <w:top w:val="nil"/>
            </w:tcBorders>
            <w:vAlign w:val="center"/>
          </w:tcPr>
          <w:p w14:paraId="7108616E">
            <w:pPr>
              <w:jc w:val="center"/>
              <w:rPr>
                <w:rFonts w:hint="eastAsia" w:ascii="仿宋_GB2312" w:eastAsia="仿宋_GB2312"/>
                <w:szCs w:val="21"/>
              </w:rPr>
            </w:pPr>
          </w:p>
        </w:tc>
        <w:tc>
          <w:tcPr>
            <w:tcW w:w="3086" w:type="pct"/>
            <w:vMerge w:val="continue"/>
            <w:tcBorders>
              <w:top w:val="nil"/>
            </w:tcBorders>
            <w:vAlign w:val="center"/>
          </w:tcPr>
          <w:p w14:paraId="698EA335">
            <w:pPr>
              <w:jc w:val="center"/>
              <w:rPr>
                <w:rFonts w:hint="eastAsia" w:ascii="仿宋_GB2312" w:eastAsia="仿宋_GB2312"/>
                <w:szCs w:val="21"/>
              </w:rPr>
            </w:pPr>
          </w:p>
        </w:tc>
        <w:tc>
          <w:tcPr>
            <w:tcW w:w="768" w:type="pct"/>
            <w:vAlign w:val="center"/>
          </w:tcPr>
          <w:p w14:paraId="201817F9">
            <w:pPr>
              <w:pStyle w:val="15"/>
              <w:jc w:val="center"/>
              <w:rPr>
                <w:rFonts w:hint="eastAsia" w:ascii="仿宋_GB2312" w:eastAsia="仿宋_GB2312"/>
                <w:sz w:val="21"/>
                <w:szCs w:val="21"/>
              </w:rPr>
            </w:pPr>
            <w:r>
              <w:rPr>
                <w:rFonts w:hint="eastAsia" w:ascii="仿宋_GB2312" w:eastAsia="仿宋_GB2312"/>
                <w:sz w:val="21"/>
                <w:szCs w:val="21"/>
              </w:rPr>
              <w:t>C</w:t>
            </w:r>
          </w:p>
        </w:tc>
        <w:tc>
          <w:tcPr>
            <w:tcW w:w="565" w:type="pct"/>
            <w:vAlign w:val="center"/>
          </w:tcPr>
          <w:p w14:paraId="575C7EA0">
            <w:pPr>
              <w:pStyle w:val="15"/>
              <w:jc w:val="center"/>
              <w:rPr>
                <w:rFonts w:hint="eastAsia" w:ascii="仿宋_GB2312" w:eastAsia="仿宋_GB2312"/>
                <w:sz w:val="21"/>
                <w:szCs w:val="21"/>
              </w:rPr>
            </w:pPr>
            <w:r>
              <w:rPr>
                <w:rFonts w:hint="eastAsia" w:ascii="仿宋_GB2312" w:eastAsia="仿宋_GB2312"/>
                <w:sz w:val="21"/>
                <w:szCs w:val="21"/>
              </w:rPr>
              <w:t>5</w:t>
            </w:r>
          </w:p>
        </w:tc>
      </w:tr>
      <w:tr w14:paraId="6A01E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82" w:type="pct"/>
            <w:vAlign w:val="center"/>
          </w:tcPr>
          <w:p w14:paraId="551B8147">
            <w:pPr>
              <w:pStyle w:val="15"/>
              <w:jc w:val="center"/>
              <w:rPr>
                <w:rFonts w:hint="eastAsia" w:ascii="仿宋_GB2312" w:eastAsia="仿宋_GB2312"/>
                <w:sz w:val="21"/>
                <w:szCs w:val="21"/>
              </w:rPr>
            </w:pPr>
            <w:r>
              <w:rPr>
                <w:rFonts w:hint="eastAsia" w:ascii="仿宋_GB2312" w:eastAsia="仿宋_GB2312"/>
                <w:sz w:val="21"/>
                <w:szCs w:val="21"/>
              </w:rPr>
              <w:t>专利方面</w:t>
            </w:r>
          </w:p>
        </w:tc>
        <w:tc>
          <w:tcPr>
            <w:tcW w:w="3086" w:type="pct"/>
            <w:vAlign w:val="center"/>
          </w:tcPr>
          <w:p w14:paraId="1B3B540A">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以独立发明人或第一发明人发明的与本专业相关的发明专利。</w:t>
            </w:r>
          </w:p>
        </w:tc>
        <w:tc>
          <w:tcPr>
            <w:tcW w:w="1332" w:type="pct"/>
            <w:gridSpan w:val="2"/>
            <w:vAlign w:val="center"/>
          </w:tcPr>
          <w:p w14:paraId="4E13D5E7">
            <w:pPr>
              <w:pStyle w:val="15"/>
              <w:jc w:val="center"/>
              <w:rPr>
                <w:rFonts w:hint="eastAsia" w:ascii="仿宋_GB2312" w:eastAsia="仿宋_GB2312"/>
                <w:sz w:val="21"/>
                <w:szCs w:val="21"/>
              </w:rPr>
            </w:pPr>
            <w:r>
              <w:rPr>
                <w:rFonts w:hint="eastAsia" w:ascii="仿宋_GB2312" w:eastAsia="仿宋_GB2312"/>
                <w:sz w:val="21"/>
                <w:szCs w:val="21"/>
              </w:rPr>
              <w:t>10</w:t>
            </w:r>
          </w:p>
        </w:tc>
      </w:tr>
      <w:tr w14:paraId="5846D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82" w:type="pct"/>
            <w:vAlign w:val="center"/>
          </w:tcPr>
          <w:p w14:paraId="4B36727C">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科研训练项目方面</w:t>
            </w:r>
          </w:p>
        </w:tc>
        <w:tc>
          <w:tcPr>
            <w:tcW w:w="3086" w:type="pct"/>
            <w:vAlign w:val="center"/>
          </w:tcPr>
          <w:p w14:paraId="02D2D538">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西南财经大学本科生科研创新项目的重点创新型项目并结项为A（优秀）；项目负责人可获项目总分的100%的加分，其他项目组成员加分为项目负责人加分的80%。</w:t>
            </w:r>
          </w:p>
        </w:tc>
        <w:tc>
          <w:tcPr>
            <w:tcW w:w="1332" w:type="pct"/>
            <w:gridSpan w:val="2"/>
            <w:vAlign w:val="center"/>
          </w:tcPr>
          <w:p w14:paraId="633A8D2D">
            <w:pPr>
              <w:pStyle w:val="15"/>
              <w:jc w:val="center"/>
              <w:rPr>
                <w:rFonts w:hint="eastAsia" w:ascii="仿宋_GB2312" w:eastAsia="仿宋_GB2312"/>
                <w:sz w:val="21"/>
                <w:szCs w:val="21"/>
              </w:rPr>
            </w:pPr>
            <w:r>
              <w:rPr>
                <w:rFonts w:hint="eastAsia" w:ascii="仿宋_GB2312" w:eastAsia="仿宋_GB2312"/>
                <w:sz w:val="21"/>
                <w:szCs w:val="21"/>
              </w:rPr>
              <w:t>2</w:t>
            </w:r>
          </w:p>
        </w:tc>
      </w:tr>
    </w:tbl>
    <w:p w14:paraId="29B35E4B">
      <w:pPr>
        <w:pStyle w:val="5"/>
        <w:spacing w:before="120" w:beforeLines="50" w:after="120" w:afterLines="50"/>
        <w:jc w:val="center"/>
        <w:rPr>
          <w:rFonts w:ascii="黑体" w:hAnsi="黑体" w:eastAsia="黑体"/>
          <w:sz w:val="21"/>
          <w:szCs w:val="21"/>
          <w:lang w:eastAsia="zh-CN"/>
        </w:rPr>
      </w:pPr>
      <w:r>
        <w:rPr>
          <w:rFonts w:ascii="黑体" w:hAnsi="黑体" w:eastAsia="黑体"/>
          <w:sz w:val="21"/>
          <w:szCs w:val="21"/>
          <w:lang w:eastAsia="zh-CN"/>
        </w:rPr>
        <w:t>表3</w:t>
      </w:r>
      <w:r>
        <w:rPr>
          <w:rFonts w:hint="eastAsia" w:ascii="黑体" w:hAnsi="黑体" w:eastAsia="黑体"/>
          <w:sz w:val="21"/>
          <w:szCs w:val="21"/>
          <w:lang w:eastAsia="zh-CN"/>
        </w:rPr>
        <w:t xml:space="preserve"> </w:t>
      </w:r>
      <w:r>
        <w:rPr>
          <w:rFonts w:ascii="黑体" w:hAnsi="黑体" w:eastAsia="黑体"/>
          <w:sz w:val="21"/>
          <w:szCs w:val="21"/>
          <w:lang w:eastAsia="zh-CN"/>
        </w:rPr>
        <w:t xml:space="preserve"> 创新创业竞赛加分认定标准</w:t>
      </w:r>
    </w:p>
    <w:tbl>
      <w:tblPr>
        <w:tblStyle w:val="16"/>
        <w:tblW w:w="500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5"/>
        <w:gridCol w:w="4692"/>
        <w:gridCol w:w="2361"/>
      </w:tblGrid>
      <w:tr w14:paraId="6076E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jc w:val="center"/>
        </w:trPr>
        <w:tc>
          <w:tcPr>
            <w:tcW w:w="765" w:type="pct"/>
            <w:vAlign w:val="center"/>
          </w:tcPr>
          <w:p w14:paraId="4E05F0C0">
            <w:pPr>
              <w:pStyle w:val="15"/>
              <w:jc w:val="center"/>
              <w:rPr>
                <w:rFonts w:hint="eastAsia" w:ascii="仿宋_GB2312" w:eastAsia="仿宋_GB2312"/>
                <w:sz w:val="21"/>
                <w:szCs w:val="21"/>
              </w:rPr>
            </w:pPr>
            <w:r>
              <w:rPr>
                <w:rFonts w:hint="eastAsia" w:ascii="仿宋_GB2312" w:eastAsia="仿宋_GB2312"/>
                <w:sz w:val="21"/>
                <w:szCs w:val="21"/>
              </w:rPr>
              <w:t>方面</w:t>
            </w:r>
          </w:p>
        </w:tc>
        <w:tc>
          <w:tcPr>
            <w:tcW w:w="2816" w:type="pct"/>
            <w:vAlign w:val="center"/>
          </w:tcPr>
          <w:p w14:paraId="54F1D6A2">
            <w:pPr>
              <w:pStyle w:val="15"/>
              <w:jc w:val="center"/>
              <w:rPr>
                <w:rFonts w:hint="eastAsia" w:ascii="仿宋_GB2312" w:eastAsia="仿宋_GB2312"/>
                <w:sz w:val="21"/>
                <w:szCs w:val="21"/>
              </w:rPr>
            </w:pPr>
            <w:r>
              <w:rPr>
                <w:rFonts w:hint="eastAsia" w:ascii="仿宋_GB2312" w:eastAsia="仿宋_GB2312"/>
                <w:sz w:val="21"/>
                <w:szCs w:val="21"/>
              </w:rPr>
              <w:t>活动、比赛</w:t>
            </w:r>
          </w:p>
        </w:tc>
        <w:tc>
          <w:tcPr>
            <w:tcW w:w="1417" w:type="pct"/>
            <w:vAlign w:val="center"/>
          </w:tcPr>
          <w:p w14:paraId="5CC3D95F">
            <w:pPr>
              <w:pStyle w:val="15"/>
              <w:jc w:val="center"/>
              <w:rPr>
                <w:rFonts w:hint="eastAsia" w:ascii="仿宋_GB2312" w:eastAsia="仿宋_GB2312"/>
                <w:sz w:val="21"/>
                <w:szCs w:val="21"/>
              </w:rPr>
            </w:pPr>
            <w:r>
              <w:rPr>
                <w:rFonts w:hint="eastAsia" w:ascii="仿宋_GB2312" w:eastAsia="仿宋_GB2312"/>
                <w:sz w:val="21"/>
                <w:szCs w:val="21"/>
              </w:rPr>
              <w:t>级别和加分</w:t>
            </w:r>
            <w:bookmarkStart w:id="1" w:name="_GoBack"/>
            <w:bookmarkEnd w:id="1"/>
          </w:p>
        </w:tc>
      </w:tr>
      <w:tr w14:paraId="47E11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65" w:type="pct"/>
            <w:vMerge w:val="restart"/>
            <w:vAlign w:val="center"/>
          </w:tcPr>
          <w:p w14:paraId="1ADA9901">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创新创业竞赛获奖方面</w:t>
            </w:r>
          </w:p>
        </w:tc>
        <w:tc>
          <w:tcPr>
            <w:tcW w:w="2816" w:type="pct"/>
            <w:vAlign w:val="center"/>
          </w:tcPr>
          <w:p w14:paraId="4F2C8C83">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“挑战杯”大学生课外学术科技作品竞赛；“挑战杯”中国大学生创业计划竞赛（不含专项赛）</w:t>
            </w:r>
          </w:p>
        </w:tc>
        <w:tc>
          <w:tcPr>
            <w:tcW w:w="1417" w:type="pct"/>
            <w:vMerge w:val="restart"/>
            <w:vAlign w:val="center"/>
          </w:tcPr>
          <w:p w14:paraId="7B174C90">
            <w:pPr>
              <w:pStyle w:val="15"/>
              <w:tabs>
                <w:tab w:val="left" w:pos="330"/>
              </w:tabs>
              <w:jc w:val="center"/>
              <w:rPr>
                <w:rFonts w:hint="eastAsia" w:ascii="仿宋_GB2312" w:eastAsia="仿宋_GB2312"/>
                <w:sz w:val="21"/>
                <w:szCs w:val="21"/>
                <w:lang w:eastAsia="zh-CN"/>
              </w:rPr>
            </w:pPr>
            <w:r>
              <w:rPr>
                <w:rFonts w:hint="eastAsia" w:ascii="仿宋_GB2312" w:eastAsia="仿宋_GB2312"/>
                <w:sz w:val="21"/>
                <w:szCs w:val="21"/>
                <w:lang w:eastAsia="zh-CN"/>
              </w:rPr>
              <w:t>除符合拔尖项目加分规则的学生外，其他国家级省级校级获奖按表1加分。项目组成员全员可获项目总分的100%的加分。</w:t>
            </w:r>
          </w:p>
        </w:tc>
      </w:tr>
      <w:tr w14:paraId="52511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65" w:type="pct"/>
            <w:vMerge w:val="continue"/>
            <w:vAlign w:val="center"/>
          </w:tcPr>
          <w:p w14:paraId="21E46E2C">
            <w:pPr>
              <w:jc w:val="center"/>
              <w:rPr>
                <w:rFonts w:hint="eastAsia" w:ascii="仿宋_GB2312" w:eastAsia="仿宋_GB2312"/>
                <w:szCs w:val="21"/>
              </w:rPr>
            </w:pPr>
          </w:p>
        </w:tc>
        <w:tc>
          <w:tcPr>
            <w:tcW w:w="2816" w:type="pct"/>
            <w:vAlign w:val="center"/>
          </w:tcPr>
          <w:p w14:paraId="53635338">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“创青春”大学生创业大赛</w:t>
            </w:r>
          </w:p>
        </w:tc>
        <w:tc>
          <w:tcPr>
            <w:tcW w:w="1417" w:type="pct"/>
            <w:vMerge w:val="continue"/>
            <w:vAlign w:val="center"/>
          </w:tcPr>
          <w:p w14:paraId="247C5EE4">
            <w:pPr>
              <w:jc w:val="center"/>
              <w:rPr>
                <w:rFonts w:hint="eastAsia" w:ascii="仿宋_GB2312" w:eastAsia="仿宋_GB2312"/>
                <w:szCs w:val="21"/>
              </w:rPr>
            </w:pPr>
          </w:p>
        </w:tc>
      </w:tr>
      <w:tr w14:paraId="70CB0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65" w:type="pct"/>
            <w:vMerge w:val="continue"/>
            <w:vAlign w:val="center"/>
          </w:tcPr>
          <w:p w14:paraId="0C29F2F7">
            <w:pPr>
              <w:jc w:val="center"/>
              <w:rPr>
                <w:rFonts w:hint="eastAsia" w:ascii="仿宋_GB2312" w:eastAsia="仿宋_GB2312"/>
                <w:szCs w:val="21"/>
              </w:rPr>
            </w:pPr>
          </w:p>
        </w:tc>
        <w:tc>
          <w:tcPr>
            <w:tcW w:w="2816" w:type="pct"/>
            <w:vAlign w:val="center"/>
          </w:tcPr>
          <w:p w14:paraId="6F322812">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中国国际大学生创新大赛</w:t>
            </w:r>
          </w:p>
        </w:tc>
        <w:tc>
          <w:tcPr>
            <w:tcW w:w="1417" w:type="pct"/>
            <w:vMerge w:val="continue"/>
            <w:vAlign w:val="center"/>
          </w:tcPr>
          <w:p w14:paraId="7238315F">
            <w:pPr>
              <w:jc w:val="center"/>
              <w:rPr>
                <w:rFonts w:hint="eastAsia" w:ascii="仿宋_GB2312" w:eastAsia="仿宋_GB2312"/>
                <w:szCs w:val="21"/>
              </w:rPr>
            </w:pPr>
          </w:p>
        </w:tc>
      </w:tr>
      <w:tr w14:paraId="691D0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 w:hRule="atLeast"/>
          <w:jc w:val="center"/>
        </w:trPr>
        <w:tc>
          <w:tcPr>
            <w:tcW w:w="765" w:type="pct"/>
            <w:vMerge w:val="continue"/>
            <w:vAlign w:val="center"/>
          </w:tcPr>
          <w:p w14:paraId="0CEC696E">
            <w:pPr>
              <w:jc w:val="center"/>
              <w:rPr>
                <w:rFonts w:hint="eastAsia" w:ascii="仿宋_GB2312" w:eastAsia="仿宋_GB2312"/>
                <w:szCs w:val="21"/>
              </w:rPr>
            </w:pPr>
          </w:p>
        </w:tc>
        <w:tc>
          <w:tcPr>
            <w:tcW w:w="2816" w:type="pct"/>
            <w:vAlign w:val="center"/>
          </w:tcPr>
          <w:p w14:paraId="4FC3EA71">
            <w:pPr>
              <w:pStyle w:val="15"/>
              <w:jc w:val="center"/>
              <w:rPr>
                <w:rFonts w:hint="eastAsia" w:ascii="仿宋_GB2312" w:eastAsia="仿宋_GB2312"/>
                <w:sz w:val="21"/>
                <w:szCs w:val="21"/>
                <w:lang w:eastAsia="zh-CN"/>
              </w:rPr>
            </w:pPr>
            <w:r>
              <w:rPr>
                <w:rFonts w:hint="eastAsia" w:ascii="仿宋_GB2312" w:eastAsia="仿宋_GB2312"/>
                <w:color w:val="000000" w:themeColor="text1"/>
                <w:sz w:val="21"/>
                <w:szCs w:val="21"/>
                <w:highlight w:val="none"/>
                <w:lang w:eastAsia="zh-CN"/>
                <w14:textFill>
                  <w14:solidFill>
                    <w14:schemeClr w14:val="tx1"/>
                  </w14:solidFill>
                </w14:textFill>
              </w:rPr>
              <w:t>全国大学生电子商务“创新创意创业”挑战赛</w:t>
            </w:r>
          </w:p>
        </w:tc>
        <w:tc>
          <w:tcPr>
            <w:tcW w:w="1417" w:type="pct"/>
            <w:vMerge w:val="continue"/>
            <w:vAlign w:val="center"/>
          </w:tcPr>
          <w:p w14:paraId="6659CC12">
            <w:pPr>
              <w:jc w:val="center"/>
              <w:rPr>
                <w:rFonts w:hint="eastAsia" w:ascii="仿宋_GB2312" w:eastAsia="仿宋_GB2312"/>
                <w:szCs w:val="21"/>
              </w:rPr>
            </w:pPr>
          </w:p>
        </w:tc>
      </w:tr>
      <w:tr w14:paraId="2DAC1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65" w:type="pct"/>
            <w:vAlign w:val="center"/>
          </w:tcPr>
          <w:p w14:paraId="12115BB2">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创新创业训练项目方面</w:t>
            </w:r>
          </w:p>
        </w:tc>
        <w:tc>
          <w:tcPr>
            <w:tcW w:w="2816" w:type="pct"/>
            <w:vAlign w:val="center"/>
          </w:tcPr>
          <w:p w14:paraId="7158FEE0">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国家级（省级）创新训练计划项目结项；</w:t>
            </w:r>
            <w:r>
              <w:rPr>
                <w:rFonts w:ascii="仿宋_GB2312" w:eastAsia="仿宋_GB2312"/>
                <w:sz w:val="21"/>
                <w:szCs w:val="21"/>
                <w:lang w:eastAsia="zh-CN"/>
              </w:rPr>
              <w:br w:type="textWrapping"/>
            </w:r>
            <w:r>
              <w:rPr>
                <w:rFonts w:hint="eastAsia" w:ascii="仿宋_GB2312" w:eastAsia="仿宋_GB2312"/>
                <w:sz w:val="21"/>
                <w:szCs w:val="21"/>
                <w:lang w:eastAsia="zh-CN"/>
              </w:rPr>
              <w:t>国家级（省级）创业训练计划项目结项；</w:t>
            </w:r>
            <w:r>
              <w:rPr>
                <w:rFonts w:ascii="仿宋_GB2312" w:eastAsia="仿宋_GB2312"/>
                <w:sz w:val="21"/>
                <w:szCs w:val="21"/>
                <w:lang w:eastAsia="zh-CN"/>
              </w:rPr>
              <w:br w:type="textWrapping"/>
            </w:r>
            <w:r>
              <w:rPr>
                <w:rFonts w:hint="eastAsia" w:ascii="仿宋_GB2312" w:eastAsia="仿宋_GB2312"/>
                <w:sz w:val="21"/>
                <w:szCs w:val="21"/>
                <w:lang w:eastAsia="zh-CN"/>
              </w:rPr>
              <w:t>项目负责人可获项目总分的100%的加分，</w:t>
            </w:r>
            <w:r>
              <w:rPr>
                <w:rFonts w:ascii="仿宋_GB2312" w:eastAsia="仿宋_GB2312"/>
                <w:sz w:val="21"/>
                <w:szCs w:val="21"/>
                <w:lang w:eastAsia="zh-CN"/>
              </w:rPr>
              <w:br w:type="textWrapping"/>
            </w:r>
            <w:r>
              <w:rPr>
                <w:rFonts w:hint="eastAsia" w:ascii="仿宋_GB2312" w:eastAsia="仿宋_GB2312"/>
                <w:sz w:val="21"/>
                <w:szCs w:val="21"/>
                <w:lang w:eastAsia="zh-CN"/>
              </w:rPr>
              <w:t>其他项目组成员加分为项目负责人加分的80%。</w:t>
            </w:r>
          </w:p>
        </w:tc>
        <w:tc>
          <w:tcPr>
            <w:tcW w:w="1417" w:type="pct"/>
            <w:vAlign w:val="center"/>
          </w:tcPr>
          <w:p w14:paraId="17442E2C">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国家级结项加3分；</w:t>
            </w:r>
            <w:r>
              <w:rPr>
                <w:rFonts w:ascii="仿宋_GB2312" w:eastAsia="仿宋_GB2312"/>
                <w:sz w:val="21"/>
                <w:szCs w:val="21"/>
                <w:lang w:eastAsia="zh-CN"/>
              </w:rPr>
              <w:br w:type="textWrapping"/>
            </w:r>
            <w:r>
              <w:rPr>
                <w:rFonts w:hint="eastAsia" w:ascii="仿宋_GB2312" w:eastAsia="仿宋_GB2312"/>
                <w:sz w:val="21"/>
                <w:szCs w:val="21"/>
                <w:lang w:eastAsia="zh-CN"/>
              </w:rPr>
              <w:t>省级结项加2分</w:t>
            </w:r>
          </w:p>
        </w:tc>
      </w:tr>
    </w:tbl>
    <w:p w14:paraId="243FA6D1">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3.学科竞赛类</w:t>
      </w:r>
    </w:p>
    <w:p w14:paraId="5122DF4C">
      <w:pPr>
        <w:spacing w:line="560" w:lineRule="exact"/>
        <w:ind w:firstLine="560" w:firstLineChars="200"/>
        <w:rPr>
          <w:rFonts w:hint="eastAsia" w:ascii="仿宋_GB2312" w:eastAsia="仿宋_GB2312"/>
          <w:spacing w:val="-6"/>
          <w:sz w:val="28"/>
          <w:szCs w:val="28"/>
        </w:rPr>
      </w:pPr>
      <w:r>
        <w:rPr>
          <w:rFonts w:hint="eastAsia" w:ascii="仿宋_GB2312" w:eastAsia="仿宋_GB2312"/>
          <w:sz w:val="28"/>
          <w:szCs w:val="28"/>
        </w:rPr>
        <w:t>学</w:t>
      </w:r>
      <w:r>
        <w:rPr>
          <w:rFonts w:hint="eastAsia" w:ascii="仿宋_GB2312" w:eastAsia="仿宋_GB2312"/>
          <w:spacing w:val="-6"/>
          <w:sz w:val="28"/>
          <w:szCs w:val="28"/>
        </w:rPr>
        <w:t>科竞赛类主要包含数学竞赛、英语竞赛、学科专业性竞赛等方面。</w:t>
      </w:r>
    </w:p>
    <w:p w14:paraId="41DD344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学科竞赛项目加分情况见表4。一般竞赛项目加分情况参照表1，其团体项目负责人可获项目总分的100%的加分，第2-5位项目组成员加分均为项目总分的80%，第6名及以后成员不加分，无负责人的项目1-5位成员按项目总分的80%的加分。</w:t>
      </w:r>
    </w:p>
    <w:p w14:paraId="5E2CA266">
      <w:pPr>
        <w:pStyle w:val="4"/>
      </w:pPr>
      <w:r>
        <w:t>表4</w:t>
      </w:r>
      <w:r>
        <w:rPr>
          <w:rFonts w:hint="eastAsia"/>
        </w:rPr>
        <w:t xml:space="preserve"> </w:t>
      </w:r>
      <w:r>
        <w:t xml:space="preserve"> 学科竞赛加分认定标准</w:t>
      </w:r>
    </w:p>
    <w:tbl>
      <w:tblPr>
        <w:tblStyle w:val="16"/>
        <w:tblW w:w="500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19"/>
        <w:gridCol w:w="3044"/>
        <w:gridCol w:w="4070"/>
      </w:tblGrid>
      <w:tr w14:paraId="77F5F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blHeader/>
          <w:jc w:val="center"/>
        </w:trPr>
        <w:tc>
          <w:tcPr>
            <w:tcW w:w="731" w:type="pct"/>
            <w:vAlign w:val="center"/>
          </w:tcPr>
          <w:p w14:paraId="665794FF">
            <w:pPr>
              <w:pStyle w:val="15"/>
              <w:jc w:val="center"/>
              <w:rPr>
                <w:rFonts w:hint="eastAsia" w:ascii="仿宋_GB2312" w:eastAsia="仿宋_GB2312"/>
                <w:sz w:val="21"/>
                <w:szCs w:val="21"/>
              </w:rPr>
            </w:pPr>
            <w:r>
              <w:rPr>
                <w:rFonts w:hint="eastAsia" w:ascii="仿宋_GB2312" w:eastAsia="仿宋_GB2312"/>
                <w:sz w:val="21"/>
                <w:szCs w:val="21"/>
              </w:rPr>
              <w:t>方面</w:t>
            </w:r>
          </w:p>
        </w:tc>
        <w:tc>
          <w:tcPr>
            <w:tcW w:w="1826" w:type="pct"/>
            <w:vAlign w:val="center"/>
          </w:tcPr>
          <w:p w14:paraId="48FBE7F5">
            <w:pPr>
              <w:pStyle w:val="15"/>
              <w:jc w:val="center"/>
              <w:rPr>
                <w:rFonts w:hint="eastAsia" w:ascii="仿宋_GB2312" w:eastAsia="仿宋_GB2312"/>
                <w:sz w:val="21"/>
                <w:szCs w:val="21"/>
              </w:rPr>
            </w:pPr>
            <w:r>
              <w:rPr>
                <w:rFonts w:hint="eastAsia" w:ascii="仿宋_GB2312" w:eastAsia="仿宋_GB2312"/>
                <w:sz w:val="21"/>
                <w:szCs w:val="21"/>
              </w:rPr>
              <w:t>活动、比赛</w:t>
            </w:r>
          </w:p>
        </w:tc>
        <w:tc>
          <w:tcPr>
            <w:tcW w:w="2441" w:type="pct"/>
            <w:vAlign w:val="center"/>
          </w:tcPr>
          <w:p w14:paraId="02FE7C5F">
            <w:pPr>
              <w:pStyle w:val="15"/>
              <w:jc w:val="center"/>
              <w:rPr>
                <w:rFonts w:hint="eastAsia" w:ascii="仿宋_GB2312" w:eastAsia="仿宋_GB2312"/>
                <w:sz w:val="21"/>
                <w:szCs w:val="21"/>
              </w:rPr>
            </w:pPr>
            <w:r>
              <w:rPr>
                <w:rFonts w:hint="eastAsia" w:ascii="仿宋_GB2312" w:eastAsia="仿宋_GB2312"/>
                <w:sz w:val="21"/>
                <w:szCs w:val="21"/>
              </w:rPr>
              <w:t>级别</w:t>
            </w:r>
          </w:p>
        </w:tc>
      </w:tr>
      <w:tr w14:paraId="3450F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0" w:hRule="atLeast"/>
          <w:jc w:val="center"/>
        </w:trPr>
        <w:tc>
          <w:tcPr>
            <w:tcW w:w="731" w:type="pct"/>
            <w:vMerge w:val="restart"/>
            <w:tcBorders>
              <w:bottom w:val="nil"/>
            </w:tcBorders>
            <w:vAlign w:val="center"/>
          </w:tcPr>
          <w:p w14:paraId="3944C223">
            <w:pPr>
              <w:pStyle w:val="15"/>
              <w:jc w:val="center"/>
              <w:rPr>
                <w:rFonts w:ascii="仿宋_GB2312" w:eastAsia="仿宋_GB2312"/>
                <w:sz w:val="21"/>
                <w:szCs w:val="21"/>
              </w:rPr>
            </w:pPr>
            <w:r>
              <w:rPr>
                <w:rFonts w:hint="eastAsia" w:ascii="仿宋_GB2312" w:eastAsia="仿宋_GB2312"/>
                <w:sz w:val="21"/>
                <w:szCs w:val="21"/>
              </w:rPr>
              <w:t>数学竞赛</w:t>
            </w:r>
          </w:p>
          <w:p w14:paraId="2E0C9E50">
            <w:pPr>
              <w:pStyle w:val="15"/>
              <w:jc w:val="center"/>
              <w:rPr>
                <w:rFonts w:hint="eastAsia" w:ascii="仿宋_GB2312" w:eastAsia="仿宋_GB2312"/>
                <w:sz w:val="21"/>
                <w:szCs w:val="21"/>
              </w:rPr>
            </w:pPr>
            <w:r>
              <w:rPr>
                <w:rFonts w:hint="eastAsia" w:ascii="仿宋_GB2312" w:eastAsia="仿宋_GB2312"/>
                <w:sz w:val="21"/>
                <w:szCs w:val="21"/>
              </w:rPr>
              <w:t>方面</w:t>
            </w:r>
          </w:p>
        </w:tc>
        <w:tc>
          <w:tcPr>
            <w:tcW w:w="1826" w:type="pct"/>
            <w:vAlign w:val="center"/>
          </w:tcPr>
          <w:p w14:paraId="7C50C98E">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全国大学生数学建模竞赛</w:t>
            </w:r>
          </w:p>
        </w:tc>
        <w:tc>
          <w:tcPr>
            <w:tcW w:w="2441" w:type="pct"/>
            <w:vAlign w:val="center"/>
          </w:tcPr>
          <w:p w14:paraId="42513D0E">
            <w:pPr>
              <w:pStyle w:val="15"/>
              <w:rPr>
                <w:rFonts w:hint="eastAsia" w:ascii="仿宋_GB2312" w:eastAsia="仿宋_GB2312"/>
                <w:sz w:val="21"/>
                <w:szCs w:val="21"/>
                <w:lang w:eastAsia="zh-CN"/>
              </w:rPr>
            </w:pPr>
            <w:r>
              <w:rPr>
                <w:rFonts w:hint="eastAsia" w:ascii="仿宋_GB2312" w:eastAsia="仿宋_GB2312"/>
                <w:sz w:val="21"/>
                <w:szCs w:val="21"/>
                <w:lang w:eastAsia="zh-CN"/>
              </w:rPr>
              <w:t>①满足拔尖项目加分规则的按照学校要求认定。</w:t>
            </w:r>
          </w:p>
          <w:p w14:paraId="41A00E4A">
            <w:pPr>
              <w:pStyle w:val="15"/>
              <w:rPr>
                <w:rFonts w:hint="eastAsia" w:ascii="仿宋_GB2312" w:eastAsia="仿宋_GB2312"/>
                <w:sz w:val="21"/>
                <w:szCs w:val="21"/>
                <w:lang w:eastAsia="zh-CN"/>
              </w:rPr>
            </w:pPr>
            <w:r>
              <w:rPr>
                <w:rFonts w:hint="eastAsia" w:ascii="仿宋_GB2312" w:eastAsia="仿宋_GB2312"/>
                <w:sz w:val="21"/>
                <w:szCs w:val="21"/>
                <w:lang w:eastAsia="zh-CN"/>
              </w:rPr>
              <w:t>②其余国家级省级奖项按数学类竞赛加分；本项目是数学类拔尖项目；全员加分100%。</w:t>
            </w:r>
          </w:p>
        </w:tc>
      </w:tr>
      <w:tr w14:paraId="21521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jc w:val="center"/>
        </w:trPr>
        <w:tc>
          <w:tcPr>
            <w:tcW w:w="731" w:type="pct"/>
            <w:vMerge w:val="continue"/>
            <w:tcBorders>
              <w:top w:val="nil"/>
              <w:bottom w:val="nil"/>
            </w:tcBorders>
            <w:vAlign w:val="center"/>
          </w:tcPr>
          <w:p w14:paraId="21EC2ADB">
            <w:pPr>
              <w:jc w:val="center"/>
              <w:rPr>
                <w:rFonts w:hint="eastAsia" w:ascii="仿宋_GB2312" w:eastAsia="仿宋_GB2312"/>
                <w:szCs w:val="21"/>
              </w:rPr>
            </w:pPr>
          </w:p>
        </w:tc>
        <w:tc>
          <w:tcPr>
            <w:tcW w:w="1826" w:type="pct"/>
            <w:vAlign w:val="center"/>
          </w:tcPr>
          <w:p w14:paraId="627A4A84">
            <w:pPr>
              <w:pStyle w:val="15"/>
              <w:jc w:val="center"/>
              <w:rPr>
                <w:rFonts w:hint="eastAsia" w:ascii="仿宋_GB2312" w:eastAsia="仿宋_GB2312"/>
                <w:sz w:val="21"/>
                <w:szCs w:val="21"/>
              </w:rPr>
            </w:pPr>
            <w:r>
              <w:rPr>
                <w:rFonts w:hint="eastAsia" w:ascii="仿宋_GB2312" w:eastAsia="仿宋_GB2312"/>
                <w:sz w:val="21"/>
                <w:szCs w:val="21"/>
              </w:rPr>
              <w:t>全国大学生数学竞赛</w:t>
            </w:r>
          </w:p>
        </w:tc>
        <w:tc>
          <w:tcPr>
            <w:tcW w:w="2441" w:type="pct"/>
            <w:vAlign w:val="center"/>
          </w:tcPr>
          <w:p w14:paraId="08899627">
            <w:pPr>
              <w:pStyle w:val="15"/>
              <w:rPr>
                <w:rFonts w:hint="eastAsia" w:ascii="仿宋_GB2312" w:eastAsia="仿宋_GB2312"/>
                <w:sz w:val="21"/>
                <w:szCs w:val="21"/>
                <w:lang w:eastAsia="zh-CN"/>
              </w:rPr>
            </w:pPr>
            <w:r>
              <w:rPr>
                <w:rFonts w:hint="eastAsia" w:ascii="仿宋_GB2312" w:eastAsia="仿宋_GB2312"/>
                <w:sz w:val="21"/>
                <w:szCs w:val="21"/>
                <w:lang w:eastAsia="zh-CN"/>
              </w:rPr>
              <w:t>①满足拔尖项目加分规则的按照学校要求认定。②其余国家级省级奖项按数学类竞赛加分；本项目是数学类拔尖项目；全员加分</w:t>
            </w:r>
            <w:r>
              <w:rPr>
                <w:rFonts w:hint="eastAsia" w:ascii="仿宋_GB2312" w:eastAsia="仿宋_GB2312"/>
                <w:position w:val="2"/>
                <w:sz w:val="21"/>
                <w:szCs w:val="21"/>
                <w:lang w:eastAsia="zh-CN"/>
              </w:rPr>
              <w:t>100%。</w:t>
            </w:r>
          </w:p>
        </w:tc>
      </w:tr>
      <w:tr w14:paraId="2A4C1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31" w:type="pct"/>
            <w:vMerge w:val="continue"/>
            <w:tcBorders>
              <w:top w:val="nil"/>
            </w:tcBorders>
            <w:vAlign w:val="center"/>
          </w:tcPr>
          <w:p w14:paraId="64F23D79">
            <w:pPr>
              <w:jc w:val="center"/>
              <w:rPr>
                <w:rFonts w:hint="eastAsia" w:ascii="仿宋_GB2312" w:eastAsia="仿宋_GB2312"/>
                <w:szCs w:val="21"/>
              </w:rPr>
            </w:pPr>
          </w:p>
        </w:tc>
        <w:tc>
          <w:tcPr>
            <w:tcW w:w="1826" w:type="pct"/>
            <w:vAlign w:val="center"/>
          </w:tcPr>
          <w:p w14:paraId="3C2D283E">
            <w:pPr>
              <w:pStyle w:val="15"/>
              <w:jc w:val="center"/>
              <w:rPr>
                <w:rFonts w:hint="eastAsia" w:ascii="仿宋_GB2312" w:eastAsia="仿宋_GB2312"/>
                <w:sz w:val="21"/>
                <w:szCs w:val="21"/>
              </w:rPr>
            </w:pPr>
            <w:r>
              <w:rPr>
                <w:rFonts w:hint="eastAsia" w:ascii="仿宋_GB2312" w:eastAsia="仿宋_GB2312"/>
                <w:sz w:val="21"/>
                <w:szCs w:val="21"/>
              </w:rPr>
              <w:t>全国统计建模大赛</w:t>
            </w:r>
          </w:p>
        </w:tc>
        <w:tc>
          <w:tcPr>
            <w:tcW w:w="2441" w:type="pct"/>
            <w:vAlign w:val="center"/>
          </w:tcPr>
          <w:p w14:paraId="2B6DB1D5">
            <w:pPr>
              <w:pStyle w:val="15"/>
              <w:rPr>
                <w:rFonts w:hint="eastAsia" w:ascii="仿宋_GB2312" w:eastAsia="仿宋_GB2312"/>
                <w:sz w:val="21"/>
                <w:szCs w:val="21"/>
              </w:rPr>
            </w:pPr>
            <w:r>
              <w:rPr>
                <w:rFonts w:hint="eastAsia" w:ascii="仿宋_GB2312" w:eastAsia="仿宋_GB2312"/>
                <w:sz w:val="21"/>
                <w:szCs w:val="21"/>
              </w:rPr>
              <w:t>国家级</w:t>
            </w:r>
          </w:p>
        </w:tc>
      </w:tr>
      <w:tr w14:paraId="1D6F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Merge w:val="restart"/>
            <w:tcBorders>
              <w:bottom w:val="nil"/>
            </w:tcBorders>
            <w:vAlign w:val="center"/>
          </w:tcPr>
          <w:p w14:paraId="17A38CF6">
            <w:pPr>
              <w:pStyle w:val="15"/>
              <w:jc w:val="center"/>
              <w:rPr>
                <w:rFonts w:ascii="仿宋_GB2312" w:eastAsia="仿宋_GB2312"/>
                <w:sz w:val="21"/>
                <w:szCs w:val="21"/>
              </w:rPr>
            </w:pPr>
            <w:r>
              <w:rPr>
                <w:rFonts w:hint="eastAsia" w:ascii="仿宋_GB2312" w:eastAsia="仿宋_GB2312"/>
                <w:sz w:val="21"/>
                <w:szCs w:val="21"/>
              </w:rPr>
              <w:t>英语竞赛</w:t>
            </w:r>
          </w:p>
          <w:p w14:paraId="46D0389A">
            <w:pPr>
              <w:pStyle w:val="15"/>
              <w:jc w:val="center"/>
              <w:rPr>
                <w:rFonts w:hint="eastAsia" w:ascii="仿宋_GB2312" w:eastAsia="仿宋_GB2312"/>
                <w:sz w:val="21"/>
                <w:szCs w:val="21"/>
              </w:rPr>
            </w:pPr>
            <w:r>
              <w:rPr>
                <w:rFonts w:hint="eastAsia" w:ascii="仿宋_GB2312" w:eastAsia="仿宋_GB2312"/>
                <w:sz w:val="21"/>
                <w:szCs w:val="21"/>
              </w:rPr>
              <w:t>方面</w:t>
            </w:r>
          </w:p>
        </w:tc>
        <w:tc>
          <w:tcPr>
            <w:tcW w:w="1826" w:type="pct"/>
            <w:vAlign w:val="center"/>
          </w:tcPr>
          <w:p w14:paraId="3D18536C">
            <w:pPr>
              <w:pStyle w:val="15"/>
              <w:jc w:val="center"/>
              <w:rPr>
                <w:rFonts w:hint="eastAsia" w:ascii="仿宋_GB2312" w:eastAsia="仿宋_GB2312"/>
                <w:sz w:val="21"/>
                <w:szCs w:val="21"/>
              </w:rPr>
            </w:pPr>
            <w:r>
              <w:rPr>
                <w:rFonts w:hint="eastAsia" w:ascii="仿宋_GB2312" w:eastAsia="仿宋_GB2312"/>
                <w:sz w:val="21"/>
                <w:szCs w:val="21"/>
              </w:rPr>
              <w:t>全国大学生英语竞赛</w:t>
            </w:r>
          </w:p>
        </w:tc>
        <w:tc>
          <w:tcPr>
            <w:tcW w:w="2441" w:type="pct"/>
            <w:vAlign w:val="center"/>
          </w:tcPr>
          <w:p w14:paraId="69452A27">
            <w:pPr>
              <w:pStyle w:val="15"/>
              <w:rPr>
                <w:rFonts w:hint="eastAsia" w:ascii="仿宋_GB2312" w:eastAsia="仿宋_GB2312"/>
                <w:sz w:val="21"/>
                <w:szCs w:val="21"/>
                <w:lang w:eastAsia="zh-CN"/>
              </w:rPr>
            </w:pPr>
            <w:r>
              <w:rPr>
                <w:rFonts w:hint="eastAsia" w:ascii="仿宋_GB2312" w:eastAsia="仿宋_GB2312"/>
                <w:sz w:val="21"/>
                <w:szCs w:val="21"/>
                <w:lang w:eastAsia="zh-CN"/>
              </w:rPr>
              <w:t>初赛视为校级；决赛视为省级；总决赛视为国家级。</w:t>
            </w:r>
          </w:p>
        </w:tc>
      </w:tr>
      <w:tr w14:paraId="4D1BD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Merge w:val="continue"/>
            <w:tcBorders>
              <w:top w:val="nil"/>
              <w:bottom w:val="nil"/>
            </w:tcBorders>
            <w:vAlign w:val="center"/>
          </w:tcPr>
          <w:p w14:paraId="4717A56E">
            <w:pPr>
              <w:jc w:val="center"/>
              <w:rPr>
                <w:rFonts w:hint="eastAsia" w:ascii="仿宋_GB2312" w:eastAsia="仿宋_GB2312"/>
                <w:szCs w:val="21"/>
              </w:rPr>
            </w:pPr>
          </w:p>
        </w:tc>
        <w:tc>
          <w:tcPr>
            <w:tcW w:w="1826" w:type="pct"/>
            <w:vAlign w:val="center"/>
          </w:tcPr>
          <w:p w14:paraId="3065BD0F">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“CCTV杯”全国英语演讲比赛</w:t>
            </w:r>
          </w:p>
        </w:tc>
        <w:tc>
          <w:tcPr>
            <w:tcW w:w="2441" w:type="pct"/>
            <w:vAlign w:val="center"/>
          </w:tcPr>
          <w:p w14:paraId="4A12C4FC">
            <w:pPr>
              <w:pStyle w:val="15"/>
              <w:rPr>
                <w:rFonts w:hint="eastAsia" w:ascii="仿宋_GB2312" w:eastAsia="仿宋_GB2312"/>
                <w:sz w:val="21"/>
                <w:szCs w:val="21"/>
                <w:lang w:eastAsia="zh-CN"/>
              </w:rPr>
            </w:pPr>
            <w:r>
              <w:rPr>
                <w:rFonts w:hint="eastAsia" w:ascii="仿宋_GB2312" w:eastAsia="仿宋_GB2312"/>
                <w:sz w:val="21"/>
                <w:szCs w:val="21"/>
                <w:lang w:eastAsia="zh-CN"/>
              </w:rPr>
              <w:t>国家级；“CCTV杯”全国英语演讲比赛是英语拔尖项目。冠亚军获得者见拔尖项目加分规则；季军按英语类国家级一等奖加分。</w:t>
            </w:r>
          </w:p>
        </w:tc>
      </w:tr>
      <w:tr w14:paraId="48189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Merge w:val="continue"/>
            <w:tcBorders>
              <w:top w:val="nil"/>
            </w:tcBorders>
            <w:vAlign w:val="center"/>
          </w:tcPr>
          <w:p w14:paraId="411C9F0A">
            <w:pPr>
              <w:jc w:val="center"/>
              <w:rPr>
                <w:rFonts w:hint="eastAsia" w:ascii="仿宋_GB2312" w:eastAsia="仿宋_GB2312"/>
                <w:szCs w:val="21"/>
              </w:rPr>
            </w:pPr>
          </w:p>
        </w:tc>
        <w:tc>
          <w:tcPr>
            <w:tcW w:w="1826" w:type="pct"/>
            <w:vAlign w:val="center"/>
          </w:tcPr>
          <w:p w14:paraId="3E159426">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外研社全国大学生英语系列赛-全国英语演讲、英语辩论、英语写作、英语阅读</w:t>
            </w:r>
          </w:p>
        </w:tc>
        <w:tc>
          <w:tcPr>
            <w:tcW w:w="2441" w:type="pct"/>
            <w:vAlign w:val="center"/>
          </w:tcPr>
          <w:p w14:paraId="5CE13E1C">
            <w:pPr>
              <w:pStyle w:val="15"/>
              <w:rPr>
                <w:rFonts w:hint="eastAsia" w:ascii="仿宋_GB2312" w:eastAsia="仿宋_GB2312"/>
                <w:sz w:val="21"/>
                <w:szCs w:val="21"/>
                <w:lang w:eastAsia="zh-CN"/>
              </w:rPr>
            </w:pPr>
            <w:r>
              <w:rPr>
                <w:rFonts w:hint="eastAsia" w:ascii="仿宋_GB2312" w:eastAsia="仿宋_GB2312"/>
                <w:sz w:val="21"/>
                <w:szCs w:val="21"/>
                <w:lang w:eastAsia="zh-CN"/>
              </w:rPr>
              <w:t>国家级；“外研社杯”全国大学生英语辩论赛是英语拔尖项目。冠亚军获得者加分见拔尖项目加分规则。季军按英语类国家级一等奖加分。</w:t>
            </w:r>
          </w:p>
        </w:tc>
      </w:tr>
      <w:tr w14:paraId="66A5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Merge w:val="restart"/>
            <w:vAlign w:val="center"/>
          </w:tcPr>
          <w:p w14:paraId="1995892B">
            <w:pPr>
              <w:pStyle w:val="15"/>
              <w:jc w:val="center"/>
              <w:rPr>
                <w:rFonts w:ascii="仿宋_GB2312" w:eastAsia="仿宋_GB2312"/>
                <w:sz w:val="21"/>
                <w:szCs w:val="21"/>
              </w:rPr>
            </w:pPr>
            <w:r>
              <w:rPr>
                <w:rFonts w:hint="eastAsia" w:ascii="仿宋_GB2312" w:eastAsia="仿宋_GB2312"/>
                <w:sz w:val="21"/>
                <w:szCs w:val="21"/>
              </w:rPr>
              <w:t>专业竞赛</w:t>
            </w:r>
          </w:p>
          <w:p w14:paraId="2A227465">
            <w:pPr>
              <w:pStyle w:val="15"/>
              <w:jc w:val="center"/>
              <w:rPr>
                <w:rFonts w:hint="eastAsia" w:ascii="仿宋_GB2312" w:eastAsia="仿宋_GB2312"/>
                <w:sz w:val="21"/>
                <w:szCs w:val="21"/>
              </w:rPr>
            </w:pPr>
            <w:r>
              <w:rPr>
                <w:rFonts w:hint="eastAsia" w:ascii="仿宋_GB2312" w:eastAsia="仿宋_GB2312"/>
                <w:sz w:val="21"/>
                <w:szCs w:val="21"/>
              </w:rPr>
              <w:t>方面</w:t>
            </w:r>
          </w:p>
        </w:tc>
        <w:tc>
          <w:tcPr>
            <w:tcW w:w="1826" w:type="pct"/>
            <w:vAlign w:val="center"/>
          </w:tcPr>
          <w:p w14:paraId="06D80F00">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中国大学生计算机设计大赛</w:t>
            </w:r>
          </w:p>
        </w:tc>
        <w:tc>
          <w:tcPr>
            <w:tcW w:w="2441" w:type="pct"/>
            <w:vAlign w:val="center"/>
          </w:tcPr>
          <w:p w14:paraId="29C43158">
            <w:pPr>
              <w:pStyle w:val="15"/>
              <w:rPr>
                <w:rFonts w:hint="eastAsia" w:ascii="仿宋_GB2312" w:eastAsia="仿宋_GB2312"/>
                <w:sz w:val="21"/>
                <w:szCs w:val="21"/>
              </w:rPr>
            </w:pPr>
            <w:r>
              <w:rPr>
                <w:rFonts w:hint="eastAsia" w:ascii="仿宋_GB2312" w:eastAsia="仿宋_GB2312"/>
                <w:sz w:val="21"/>
                <w:szCs w:val="21"/>
              </w:rPr>
              <w:t>国家级</w:t>
            </w:r>
          </w:p>
        </w:tc>
      </w:tr>
      <w:tr w14:paraId="370FF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Merge w:val="continue"/>
            <w:vAlign w:val="center"/>
          </w:tcPr>
          <w:p w14:paraId="7E26CECE">
            <w:pPr>
              <w:jc w:val="center"/>
              <w:rPr>
                <w:rFonts w:hint="eastAsia" w:ascii="仿宋_GB2312" w:eastAsia="仿宋_GB2312"/>
                <w:szCs w:val="21"/>
              </w:rPr>
            </w:pPr>
          </w:p>
        </w:tc>
        <w:tc>
          <w:tcPr>
            <w:tcW w:w="1826" w:type="pct"/>
            <w:vAlign w:val="center"/>
          </w:tcPr>
          <w:p w14:paraId="31D8B963">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花旗杯金融创新应用大赛</w:t>
            </w:r>
          </w:p>
        </w:tc>
        <w:tc>
          <w:tcPr>
            <w:tcW w:w="2441" w:type="pct"/>
            <w:vAlign w:val="center"/>
          </w:tcPr>
          <w:p w14:paraId="624CCAE0">
            <w:pPr>
              <w:pStyle w:val="15"/>
              <w:rPr>
                <w:rFonts w:hint="eastAsia" w:ascii="仿宋_GB2312" w:eastAsia="仿宋_GB2312"/>
                <w:sz w:val="21"/>
                <w:szCs w:val="21"/>
              </w:rPr>
            </w:pPr>
            <w:r>
              <w:rPr>
                <w:rFonts w:hint="eastAsia" w:ascii="仿宋_GB2312" w:eastAsia="仿宋_GB2312"/>
                <w:sz w:val="21"/>
                <w:szCs w:val="21"/>
              </w:rPr>
              <w:t>国家级</w:t>
            </w:r>
          </w:p>
        </w:tc>
      </w:tr>
      <w:tr w14:paraId="3C988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9" w:hRule="atLeast"/>
          <w:jc w:val="center"/>
        </w:trPr>
        <w:tc>
          <w:tcPr>
            <w:tcW w:w="731" w:type="pct"/>
            <w:vMerge w:val="continue"/>
            <w:vAlign w:val="center"/>
          </w:tcPr>
          <w:p w14:paraId="48C3DEB4">
            <w:pPr>
              <w:jc w:val="center"/>
              <w:rPr>
                <w:rFonts w:hint="eastAsia" w:ascii="仿宋_GB2312" w:eastAsia="仿宋_GB2312"/>
                <w:szCs w:val="21"/>
              </w:rPr>
            </w:pPr>
          </w:p>
        </w:tc>
        <w:tc>
          <w:tcPr>
            <w:tcW w:w="1826" w:type="pct"/>
            <w:vAlign w:val="center"/>
          </w:tcPr>
          <w:p w14:paraId="1D436D52">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ACM-ICPC国际大学生程序设计竞赛</w:t>
            </w:r>
          </w:p>
        </w:tc>
        <w:tc>
          <w:tcPr>
            <w:tcW w:w="2441" w:type="pct"/>
            <w:vAlign w:val="center"/>
          </w:tcPr>
          <w:p w14:paraId="3EC592AB">
            <w:pPr>
              <w:pStyle w:val="15"/>
              <w:rPr>
                <w:rFonts w:hint="eastAsia" w:ascii="仿宋_GB2312" w:eastAsia="仿宋_GB2312"/>
                <w:sz w:val="21"/>
                <w:szCs w:val="21"/>
                <w:lang w:eastAsia="zh-CN"/>
              </w:rPr>
            </w:pPr>
            <w:r>
              <w:rPr>
                <w:rFonts w:hint="eastAsia" w:ascii="仿宋_GB2312" w:eastAsia="仿宋_GB2312"/>
                <w:sz w:val="21"/>
                <w:szCs w:val="21"/>
                <w:lang w:eastAsia="zh-CN"/>
              </w:rPr>
              <w:t>区域赛为国家级；本项目是重点竞赛项目，项目组成员全员加分100%。</w:t>
            </w:r>
          </w:p>
        </w:tc>
      </w:tr>
      <w:tr w14:paraId="67AD7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Merge w:val="continue"/>
            <w:vAlign w:val="center"/>
          </w:tcPr>
          <w:p w14:paraId="426FE183">
            <w:pPr>
              <w:jc w:val="center"/>
              <w:rPr>
                <w:rFonts w:hint="eastAsia" w:ascii="仿宋_GB2312" w:eastAsia="仿宋_GB2312"/>
                <w:szCs w:val="21"/>
              </w:rPr>
            </w:pPr>
          </w:p>
        </w:tc>
        <w:tc>
          <w:tcPr>
            <w:tcW w:w="1826" w:type="pct"/>
            <w:vAlign w:val="center"/>
          </w:tcPr>
          <w:p w14:paraId="592B4132">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全国大学生市场调查与分析大赛</w:t>
            </w:r>
          </w:p>
        </w:tc>
        <w:tc>
          <w:tcPr>
            <w:tcW w:w="2441" w:type="pct"/>
            <w:vAlign w:val="center"/>
          </w:tcPr>
          <w:p w14:paraId="6B70F680">
            <w:pPr>
              <w:pStyle w:val="15"/>
              <w:rPr>
                <w:rFonts w:hint="eastAsia" w:ascii="仿宋_GB2312" w:eastAsia="仿宋_GB2312"/>
                <w:sz w:val="21"/>
                <w:szCs w:val="21"/>
              </w:rPr>
            </w:pPr>
            <w:r>
              <w:rPr>
                <w:rFonts w:hint="eastAsia" w:ascii="仿宋_GB2312" w:eastAsia="仿宋_GB2312"/>
                <w:sz w:val="21"/>
                <w:szCs w:val="21"/>
              </w:rPr>
              <w:t>国家级</w:t>
            </w:r>
          </w:p>
        </w:tc>
      </w:tr>
      <w:tr w14:paraId="3F1F5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Merge w:val="continue"/>
            <w:vAlign w:val="center"/>
          </w:tcPr>
          <w:p w14:paraId="04A5EDA0">
            <w:pPr>
              <w:jc w:val="center"/>
              <w:rPr>
                <w:rFonts w:hint="eastAsia" w:ascii="仿宋_GB2312" w:eastAsia="仿宋_GB2312"/>
                <w:szCs w:val="21"/>
              </w:rPr>
            </w:pPr>
          </w:p>
        </w:tc>
        <w:tc>
          <w:tcPr>
            <w:tcW w:w="1826" w:type="pct"/>
            <w:vAlign w:val="center"/>
          </w:tcPr>
          <w:p w14:paraId="6C99D06A">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全国大学生企业竞争模拟大赛</w:t>
            </w:r>
          </w:p>
        </w:tc>
        <w:tc>
          <w:tcPr>
            <w:tcW w:w="2441" w:type="pct"/>
            <w:vAlign w:val="center"/>
          </w:tcPr>
          <w:p w14:paraId="63DD62AC">
            <w:pPr>
              <w:pStyle w:val="15"/>
              <w:rPr>
                <w:rFonts w:hint="eastAsia" w:ascii="仿宋_GB2312" w:eastAsia="仿宋_GB2312"/>
                <w:sz w:val="21"/>
                <w:szCs w:val="21"/>
              </w:rPr>
            </w:pPr>
            <w:r>
              <w:rPr>
                <w:rFonts w:hint="eastAsia" w:ascii="仿宋_GB2312" w:eastAsia="仿宋_GB2312"/>
                <w:sz w:val="21"/>
                <w:szCs w:val="21"/>
              </w:rPr>
              <w:t>国家级</w:t>
            </w:r>
          </w:p>
        </w:tc>
      </w:tr>
      <w:tr w14:paraId="5C0D7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Merge w:val="continue"/>
            <w:vAlign w:val="center"/>
          </w:tcPr>
          <w:p w14:paraId="2075B8E4">
            <w:pPr>
              <w:jc w:val="center"/>
              <w:rPr>
                <w:rFonts w:hint="eastAsia" w:ascii="仿宋_GB2312" w:eastAsia="仿宋_GB2312"/>
                <w:szCs w:val="21"/>
              </w:rPr>
            </w:pPr>
          </w:p>
        </w:tc>
        <w:tc>
          <w:tcPr>
            <w:tcW w:w="1826" w:type="pct"/>
            <w:vAlign w:val="center"/>
          </w:tcPr>
          <w:p w14:paraId="5F42BDF2">
            <w:pPr>
              <w:pStyle w:val="15"/>
              <w:jc w:val="center"/>
              <w:rPr>
                <w:rFonts w:hint="eastAsia" w:ascii="仿宋_GB2312" w:eastAsia="仿宋_GB2312"/>
                <w:sz w:val="21"/>
                <w:szCs w:val="21"/>
              </w:rPr>
            </w:pPr>
            <w:r>
              <w:rPr>
                <w:rFonts w:hint="eastAsia" w:ascii="仿宋_GB2312" w:eastAsia="仿宋_GB2312"/>
                <w:sz w:val="21"/>
                <w:szCs w:val="21"/>
              </w:rPr>
              <w:t>国际企业管理挑战赛</w:t>
            </w:r>
          </w:p>
        </w:tc>
        <w:tc>
          <w:tcPr>
            <w:tcW w:w="2441" w:type="pct"/>
            <w:vAlign w:val="center"/>
          </w:tcPr>
          <w:p w14:paraId="1E7DD2D2">
            <w:pPr>
              <w:pStyle w:val="15"/>
              <w:rPr>
                <w:rFonts w:hint="eastAsia" w:ascii="仿宋_GB2312" w:eastAsia="仿宋_GB2312"/>
                <w:sz w:val="21"/>
                <w:szCs w:val="21"/>
                <w:lang w:eastAsia="zh-CN"/>
              </w:rPr>
            </w:pPr>
            <w:r>
              <w:rPr>
                <w:rFonts w:hint="eastAsia" w:ascii="仿宋_GB2312" w:eastAsia="仿宋_GB2312"/>
                <w:sz w:val="21"/>
                <w:szCs w:val="21"/>
                <w:lang w:eastAsia="zh-CN"/>
              </w:rPr>
              <w:t>国际企业管理挑战赛国际大奖按国家级，国家级按省级认定。</w:t>
            </w:r>
          </w:p>
        </w:tc>
      </w:tr>
      <w:tr w14:paraId="4DEA1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Merge w:val="restart"/>
            <w:tcBorders>
              <w:bottom w:val="nil"/>
            </w:tcBorders>
            <w:vAlign w:val="center"/>
          </w:tcPr>
          <w:p w14:paraId="21FA5604">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复合交叉竞赛方面</w:t>
            </w:r>
          </w:p>
        </w:tc>
        <w:tc>
          <w:tcPr>
            <w:tcW w:w="1826" w:type="pct"/>
            <w:vAlign w:val="center"/>
          </w:tcPr>
          <w:p w14:paraId="1BC2ABAD">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四川省大学生金融科技建模大赛</w:t>
            </w:r>
          </w:p>
        </w:tc>
        <w:tc>
          <w:tcPr>
            <w:tcW w:w="2441" w:type="pct"/>
            <w:vAlign w:val="center"/>
          </w:tcPr>
          <w:p w14:paraId="1640C59F">
            <w:pPr>
              <w:pStyle w:val="15"/>
              <w:rPr>
                <w:rFonts w:hint="eastAsia" w:ascii="仿宋_GB2312" w:eastAsia="仿宋_GB2312"/>
                <w:sz w:val="21"/>
                <w:szCs w:val="21"/>
              </w:rPr>
            </w:pPr>
            <w:r>
              <w:rPr>
                <w:rFonts w:hint="eastAsia" w:ascii="仿宋_GB2312" w:eastAsia="仿宋_GB2312"/>
                <w:sz w:val="21"/>
                <w:szCs w:val="21"/>
              </w:rPr>
              <w:t>省级</w:t>
            </w:r>
          </w:p>
        </w:tc>
      </w:tr>
      <w:tr w14:paraId="62C5F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Merge w:val="continue"/>
            <w:tcBorders>
              <w:top w:val="nil"/>
              <w:bottom w:val="nil"/>
            </w:tcBorders>
            <w:vAlign w:val="center"/>
          </w:tcPr>
          <w:p w14:paraId="28F2CADC">
            <w:pPr>
              <w:jc w:val="center"/>
              <w:rPr>
                <w:rFonts w:hint="eastAsia" w:ascii="仿宋_GB2312" w:eastAsia="仿宋_GB2312"/>
                <w:szCs w:val="21"/>
              </w:rPr>
            </w:pPr>
          </w:p>
        </w:tc>
        <w:tc>
          <w:tcPr>
            <w:tcW w:w="1826" w:type="pct"/>
            <w:vAlign w:val="center"/>
          </w:tcPr>
          <w:p w14:paraId="055D2142">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“成都80”金融科技大赛</w:t>
            </w:r>
          </w:p>
        </w:tc>
        <w:tc>
          <w:tcPr>
            <w:tcW w:w="2441" w:type="pct"/>
            <w:vAlign w:val="center"/>
          </w:tcPr>
          <w:p w14:paraId="60D19174">
            <w:pPr>
              <w:pStyle w:val="15"/>
              <w:rPr>
                <w:rFonts w:hint="eastAsia" w:ascii="仿宋_GB2312" w:eastAsia="仿宋_GB2312"/>
                <w:sz w:val="21"/>
                <w:szCs w:val="21"/>
                <w:lang w:eastAsia="zh-CN"/>
              </w:rPr>
            </w:pPr>
            <w:r>
              <w:rPr>
                <w:rFonts w:hint="eastAsia" w:ascii="仿宋_GB2312" w:eastAsia="仿宋_GB2312"/>
                <w:sz w:val="21"/>
                <w:szCs w:val="21"/>
                <w:lang w:eastAsia="zh-CN"/>
              </w:rPr>
              <w:t>开拓者奖（省级一等奖）、先锋奖（省级二等奖）、创新奖（省级三等奖）</w:t>
            </w:r>
          </w:p>
        </w:tc>
      </w:tr>
      <w:tr w14:paraId="73452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9" w:hRule="atLeast"/>
          <w:jc w:val="center"/>
        </w:trPr>
        <w:tc>
          <w:tcPr>
            <w:tcW w:w="731" w:type="pct"/>
            <w:vMerge w:val="continue"/>
            <w:tcBorders>
              <w:top w:val="nil"/>
            </w:tcBorders>
            <w:vAlign w:val="center"/>
          </w:tcPr>
          <w:p w14:paraId="60873453">
            <w:pPr>
              <w:jc w:val="center"/>
              <w:rPr>
                <w:rFonts w:hint="eastAsia" w:ascii="仿宋_GB2312" w:eastAsia="仿宋_GB2312"/>
                <w:szCs w:val="21"/>
              </w:rPr>
            </w:pPr>
          </w:p>
        </w:tc>
        <w:tc>
          <w:tcPr>
            <w:tcW w:w="1826" w:type="pct"/>
            <w:vAlign w:val="center"/>
          </w:tcPr>
          <w:p w14:paraId="3DEF39C1">
            <w:pPr>
              <w:pStyle w:val="15"/>
              <w:jc w:val="center"/>
              <w:rPr>
                <w:rFonts w:hint="eastAsia" w:ascii="仿宋_GB2312" w:eastAsia="仿宋_GB2312"/>
                <w:sz w:val="21"/>
                <w:szCs w:val="21"/>
              </w:rPr>
            </w:pPr>
            <w:r>
              <w:rPr>
                <w:rFonts w:hint="eastAsia" w:ascii="仿宋_GB2312" w:eastAsia="仿宋_GB2312"/>
                <w:sz w:val="21"/>
                <w:szCs w:val="21"/>
              </w:rPr>
              <w:t>西南财经大学科技节</w:t>
            </w:r>
          </w:p>
        </w:tc>
        <w:tc>
          <w:tcPr>
            <w:tcW w:w="2441" w:type="pct"/>
            <w:vAlign w:val="center"/>
          </w:tcPr>
          <w:p w14:paraId="1D8786A5">
            <w:pPr>
              <w:pStyle w:val="15"/>
              <w:rPr>
                <w:rFonts w:hint="eastAsia" w:ascii="仿宋_GB2312" w:eastAsia="仿宋_GB2312"/>
                <w:sz w:val="21"/>
                <w:szCs w:val="21"/>
              </w:rPr>
            </w:pPr>
            <w:r>
              <w:rPr>
                <w:rFonts w:hint="eastAsia" w:ascii="仿宋_GB2312" w:eastAsia="仿宋_GB2312"/>
                <w:sz w:val="21"/>
                <w:szCs w:val="21"/>
              </w:rPr>
              <w:t>校级</w:t>
            </w:r>
          </w:p>
        </w:tc>
      </w:tr>
      <w:tr w14:paraId="76A9B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31" w:type="pct"/>
            <w:vAlign w:val="center"/>
          </w:tcPr>
          <w:p w14:paraId="7F0D305A">
            <w:pPr>
              <w:pStyle w:val="15"/>
              <w:jc w:val="center"/>
              <w:rPr>
                <w:rFonts w:ascii="仿宋_GB2312" w:eastAsia="仿宋_GB2312"/>
                <w:sz w:val="21"/>
                <w:szCs w:val="21"/>
              </w:rPr>
            </w:pPr>
            <w:r>
              <w:rPr>
                <w:rFonts w:hint="eastAsia" w:ascii="仿宋_GB2312" w:eastAsia="仿宋_GB2312"/>
                <w:sz w:val="21"/>
                <w:szCs w:val="21"/>
              </w:rPr>
              <w:t>学院特色</w:t>
            </w:r>
          </w:p>
          <w:p w14:paraId="3DEEC165">
            <w:pPr>
              <w:pStyle w:val="15"/>
              <w:jc w:val="center"/>
              <w:rPr>
                <w:rFonts w:hint="eastAsia" w:ascii="仿宋_GB2312" w:eastAsia="仿宋_GB2312"/>
                <w:sz w:val="21"/>
                <w:szCs w:val="21"/>
              </w:rPr>
            </w:pPr>
            <w:r>
              <w:rPr>
                <w:rFonts w:hint="eastAsia" w:ascii="仿宋_GB2312" w:eastAsia="仿宋_GB2312"/>
                <w:sz w:val="21"/>
                <w:szCs w:val="21"/>
              </w:rPr>
              <w:t>项目</w:t>
            </w:r>
          </w:p>
        </w:tc>
        <w:tc>
          <w:tcPr>
            <w:tcW w:w="1826" w:type="pct"/>
            <w:vAlign w:val="center"/>
          </w:tcPr>
          <w:p w14:paraId="00EDF957">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“小火花”科研训练项目一等奖</w:t>
            </w:r>
          </w:p>
        </w:tc>
        <w:tc>
          <w:tcPr>
            <w:tcW w:w="2441" w:type="pct"/>
            <w:vAlign w:val="center"/>
          </w:tcPr>
          <w:p w14:paraId="44832831">
            <w:pPr>
              <w:pStyle w:val="15"/>
              <w:rPr>
                <w:rFonts w:hint="eastAsia" w:ascii="仿宋_GB2312" w:eastAsia="仿宋_GB2312"/>
                <w:sz w:val="21"/>
                <w:szCs w:val="21"/>
                <w:lang w:eastAsia="zh-CN"/>
              </w:rPr>
            </w:pPr>
            <w:r>
              <w:rPr>
                <w:rFonts w:hint="eastAsia" w:ascii="仿宋_GB2312" w:eastAsia="仿宋_GB2312"/>
                <w:sz w:val="21"/>
                <w:szCs w:val="21"/>
                <w:lang w:eastAsia="zh-CN"/>
              </w:rPr>
              <w:t>校级一等奖，团体项目负责人可获项目总分的100%的加分，第2-5位项目组成员加分均为项目总分的80%。</w:t>
            </w:r>
          </w:p>
        </w:tc>
      </w:tr>
    </w:tbl>
    <w:p w14:paraId="1AE2A126">
      <w:pPr>
        <w:spacing w:line="560" w:lineRule="exact"/>
        <w:ind w:firstLine="562" w:firstLineChars="200"/>
        <w:rPr>
          <w:rFonts w:hint="eastAsia" w:ascii="仿宋_GB2312" w:eastAsia="仿宋_GB2312"/>
          <w:b/>
          <w:sz w:val="28"/>
          <w:szCs w:val="28"/>
        </w:rPr>
      </w:pPr>
      <w:r>
        <w:rPr>
          <w:rFonts w:hint="eastAsia" w:ascii="仿宋_GB2312" w:eastAsia="仿宋_GB2312"/>
          <w:b/>
          <w:sz w:val="28"/>
          <w:szCs w:val="28"/>
        </w:rPr>
        <w:t>（二）素质能力加分</w:t>
      </w:r>
    </w:p>
    <w:p w14:paraId="3C433FC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素质能力加分包含荣誉类、服兵役类、体育类、美育类、劳动教育类、社会实践类。素质能力加分总分不超过30分。素质能力加分中校级加分总分不超过6分。</w:t>
      </w:r>
    </w:p>
    <w:p w14:paraId="7AF245B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1.服兵役类</w:t>
      </w:r>
    </w:p>
    <w:p w14:paraId="4436241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在校期间完成服兵役计分如表5所示。同一学生在此类的同一方面有多项加分情况，只计一项。</w:t>
      </w:r>
    </w:p>
    <w:p w14:paraId="6C136CDB">
      <w:pPr>
        <w:pStyle w:val="4"/>
      </w:pPr>
      <w:r>
        <w:t>表5</w:t>
      </w:r>
      <w:r>
        <w:rPr>
          <w:rFonts w:hint="eastAsia"/>
        </w:rPr>
        <w:t xml:space="preserve"> </w:t>
      </w:r>
      <w:r>
        <w:t xml:space="preserve"> 服兵役类加分认定标准</w:t>
      </w:r>
    </w:p>
    <w:tbl>
      <w:tblPr>
        <w:tblStyle w:val="1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34"/>
        <w:gridCol w:w="6046"/>
        <w:gridCol w:w="938"/>
      </w:tblGrid>
      <w:tr w14:paraId="08BB3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2" w:type="pct"/>
            <w:vAlign w:val="center"/>
          </w:tcPr>
          <w:p w14:paraId="0AD9E5BB">
            <w:pPr>
              <w:pStyle w:val="15"/>
              <w:jc w:val="center"/>
              <w:rPr>
                <w:rFonts w:hint="eastAsia" w:ascii="仿宋_GB2312" w:eastAsia="仿宋_GB2312"/>
                <w:sz w:val="21"/>
                <w:szCs w:val="21"/>
              </w:rPr>
            </w:pPr>
            <w:r>
              <w:rPr>
                <w:rFonts w:hint="eastAsia" w:ascii="仿宋_GB2312" w:eastAsia="仿宋_GB2312"/>
                <w:sz w:val="21"/>
                <w:szCs w:val="21"/>
              </w:rPr>
              <w:t>项目类别</w:t>
            </w:r>
          </w:p>
        </w:tc>
        <w:tc>
          <w:tcPr>
            <w:tcW w:w="3634" w:type="pct"/>
            <w:vAlign w:val="center"/>
          </w:tcPr>
          <w:p w14:paraId="644EFEB7">
            <w:pPr>
              <w:pStyle w:val="15"/>
              <w:jc w:val="center"/>
              <w:rPr>
                <w:rFonts w:hint="eastAsia" w:ascii="仿宋_GB2312" w:eastAsia="仿宋_GB2312"/>
                <w:sz w:val="21"/>
                <w:szCs w:val="21"/>
              </w:rPr>
            </w:pPr>
            <w:r>
              <w:rPr>
                <w:rFonts w:hint="eastAsia" w:ascii="仿宋_GB2312" w:eastAsia="仿宋_GB2312"/>
                <w:sz w:val="21"/>
                <w:szCs w:val="21"/>
              </w:rPr>
              <w:t>项目类别</w:t>
            </w:r>
          </w:p>
        </w:tc>
        <w:tc>
          <w:tcPr>
            <w:tcW w:w="565" w:type="pct"/>
            <w:vAlign w:val="center"/>
          </w:tcPr>
          <w:p w14:paraId="458E8CC5">
            <w:pPr>
              <w:pStyle w:val="15"/>
              <w:jc w:val="center"/>
              <w:rPr>
                <w:rFonts w:hint="eastAsia" w:ascii="仿宋_GB2312" w:eastAsia="仿宋_GB2312"/>
                <w:sz w:val="21"/>
                <w:szCs w:val="21"/>
              </w:rPr>
            </w:pPr>
            <w:r>
              <w:rPr>
                <w:rFonts w:hint="eastAsia" w:ascii="仿宋_GB2312" w:eastAsia="仿宋_GB2312"/>
                <w:sz w:val="21"/>
                <w:szCs w:val="21"/>
              </w:rPr>
              <w:t>加分分值</w:t>
            </w:r>
          </w:p>
        </w:tc>
      </w:tr>
      <w:tr w14:paraId="69D7D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2" w:type="pct"/>
            <w:vMerge w:val="restart"/>
            <w:tcBorders>
              <w:bottom w:val="nil"/>
            </w:tcBorders>
            <w:vAlign w:val="center"/>
          </w:tcPr>
          <w:p w14:paraId="22F5EA6C">
            <w:pPr>
              <w:pStyle w:val="15"/>
              <w:jc w:val="center"/>
              <w:rPr>
                <w:rFonts w:hint="eastAsia" w:ascii="仿宋_GB2312" w:eastAsia="仿宋_GB2312"/>
                <w:sz w:val="21"/>
                <w:szCs w:val="21"/>
              </w:rPr>
            </w:pPr>
            <w:r>
              <w:rPr>
                <w:rFonts w:hint="eastAsia" w:ascii="仿宋_GB2312" w:eastAsia="仿宋_GB2312"/>
                <w:sz w:val="21"/>
                <w:szCs w:val="21"/>
              </w:rPr>
              <w:t>服兵役类</w:t>
            </w:r>
          </w:p>
        </w:tc>
        <w:tc>
          <w:tcPr>
            <w:tcW w:w="3634" w:type="pct"/>
            <w:vAlign w:val="center"/>
          </w:tcPr>
          <w:p w14:paraId="4F2EE7DB">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在校期间完成服兵役，在部队荣立三等功及以上。</w:t>
            </w:r>
          </w:p>
        </w:tc>
        <w:tc>
          <w:tcPr>
            <w:tcW w:w="565" w:type="pct"/>
            <w:vAlign w:val="center"/>
          </w:tcPr>
          <w:p w14:paraId="5581A65B">
            <w:pPr>
              <w:pStyle w:val="15"/>
              <w:jc w:val="center"/>
              <w:rPr>
                <w:rFonts w:hint="eastAsia" w:ascii="仿宋_GB2312" w:eastAsia="仿宋_GB2312"/>
                <w:sz w:val="21"/>
                <w:szCs w:val="21"/>
              </w:rPr>
            </w:pPr>
            <w:r>
              <w:rPr>
                <w:rFonts w:hint="eastAsia" w:ascii="仿宋_GB2312" w:eastAsia="仿宋_GB2312"/>
                <w:sz w:val="21"/>
                <w:szCs w:val="21"/>
              </w:rPr>
              <w:t>100</w:t>
            </w:r>
          </w:p>
        </w:tc>
      </w:tr>
      <w:tr w14:paraId="0D30C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2" w:type="pct"/>
            <w:vMerge w:val="continue"/>
            <w:tcBorders>
              <w:top w:val="nil"/>
              <w:bottom w:val="nil"/>
            </w:tcBorders>
            <w:vAlign w:val="center"/>
          </w:tcPr>
          <w:p w14:paraId="194D0BAC">
            <w:pPr>
              <w:jc w:val="center"/>
              <w:rPr>
                <w:rFonts w:hint="eastAsia" w:ascii="仿宋_GB2312" w:eastAsia="仿宋_GB2312"/>
                <w:szCs w:val="21"/>
              </w:rPr>
            </w:pPr>
          </w:p>
        </w:tc>
        <w:tc>
          <w:tcPr>
            <w:tcW w:w="3634" w:type="pct"/>
            <w:vAlign w:val="center"/>
          </w:tcPr>
          <w:p w14:paraId="3BC596C8">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在校期间完成服兵役，在部队获得通令嘉奖或优秀士兵称号。</w:t>
            </w:r>
          </w:p>
        </w:tc>
        <w:tc>
          <w:tcPr>
            <w:tcW w:w="565" w:type="pct"/>
            <w:vAlign w:val="center"/>
          </w:tcPr>
          <w:p w14:paraId="26365392">
            <w:pPr>
              <w:pStyle w:val="15"/>
              <w:jc w:val="center"/>
              <w:rPr>
                <w:rFonts w:hint="eastAsia" w:ascii="仿宋_GB2312" w:eastAsia="仿宋_GB2312"/>
                <w:sz w:val="21"/>
                <w:szCs w:val="21"/>
              </w:rPr>
            </w:pPr>
            <w:r>
              <w:rPr>
                <w:rFonts w:hint="eastAsia" w:ascii="仿宋_GB2312" w:eastAsia="仿宋_GB2312"/>
                <w:sz w:val="21"/>
                <w:szCs w:val="21"/>
              </w:rPr>
              <w:t>70</w:t>
            </w:r>
          </w:p>
        </w:tc>
      </w:tr>
      <w:tr w14:paraId="2E74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2" w:type="pct"/>
            <w:vMerge w:val="continue"/>
            <w:tcBorders>
              <w:top w:val="nil"/>
            </w:tcBorders>
            <w:vAlign w:val="center"/>
          </w:tcPr>
          <w:p w14:paraId="22EF791C">
            <w:pPr>
              <w:jc w:val="center"/>
              <w:rPr>
                <w:rFonts w:hint="eastAsia" w:ascii="仿宋_GB2312" w:eastAsia="仿宋_GB2312"/>
                <w:szCs w:val="21"/>
              </w:rPr>
            </w:pPr>
          </w:p>
        </w:tc>
        <w:tc>
          <w:tcPr>
            <w:tcW w:w="3634" w:type="pct"/>
            <w:vAlign w:val="center"/>
          </w:tcPr>
          <w:p w14:paraId="5805DE65">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在校期间完成服兵役。</w:t>
            </w:r>
          </w:p>
        </w:tc>
        <w:tc>
          <w:tcPr>
            <w:tcW w:w="565" w:type="pct"/>
            <w:vAlign w:val="center"/>
          </w:tcPr>
          <w:p w14:paraId="74319D82">
            <w:pPr>
              <w:pStyle w:val="15"/>
              <w:jc w:val="center"/>
              <w:rPr>
                <w:rFonts w:hint="eastAsia" w:ascii="仿宋_GB2312" w:eastAsia="仿宋_GB2312"/>
                <w:sz w:val="21"/>
                <w:szCs w:val="21"/>
              </w:rPr>
            </w:pPr>
            <w:r>
              <w:rPr>
                <w:rFonts w:hint="eastAsia" w:ascii="仿宋_GB2312" w:eastAsia="仿宋_GB2312"/>
                <w:sz w:val="21"/>
                <w:szCs w:val="21"/>
              </w:rPr>
              <w:t>50</w:t>
            </w:r>
          </w:p>
        </w:tc>
      </w:tr>
    </w:tbl>
    <w:p w14:paraId="73A41A61">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2.体育类</w:t>
      </w:r>
    </w:p>
    <w:p w14:paraId="62767BB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体育类包含体育竞赛或获奖方面。同一学生在此类的同一方面有多项加分情况，只计一项。</w:t>
      </w:r>
    </w:p>
    <w:p w14:paraId="6385E3EA">
      <w:pPr>
        <w:pStyle w:val="4"/>
      </w:pPr>
      <w:r>
        <w:t>表6</w:t>
      </w:r>
      <w:r>
        <w:rPr>
          <w:rFonts w:hint="eastAsia"/>
        </w:rPr>
        <w:t xml:space="preserve"> </w:t>
      </w:r>
      <w:r>
        <w:t xml:space="preserve"> 体育类加分标准</w:t>
      </w:r>
    </w:p>
    <w:tbl>
      <w:tblPr>
        <w:tblStyle w:val="1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9"/>
        <w:gridCol w:w="5328"/>
        <w:gridCol w:w="2011"/>
      </w:tblGrid>
      <w:tr w14:paraId="4433A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594" w:type="pct"/>
            <w:vAlign w:val="center"/>
          </w:tcPr>
          <w:p w14:paraId="71F09489">
            <w:pPr>
              <w:pStyle w:val="15"/>
              <w:jc w:val="center"/>
              <w:rPr>
                <w:rFonts w:hint="eastAsia" w:ascii="仿宋_GB2312" w:eastAsia="仿宋_GB2312"/>
                <w:sz w:val="21"/>
                <w:szCs w:val="21"/>
              </w:rPr>
            </w:pPr>
            <w:r>
              <w:rPr>
                <w:rFonts w:hint="eastAsia" w:ascii="仿宋_GB2312" w:eastAsia="仿宋_GB2312"/>
                <w:sz w:val="21"/>
                <w:szCs w:val="21"/>
              </w:rPr>
              <w:t>方面</w:t>
            </w:r>
          </w:p>
        </w:tc>
        <w:tc>
          <w:tcPr>
            <w:tcW w:w="3199" w:type="pct"/>
            <w:vAlign w:val="center"/>
          </w:tcPr>
          <w:p w14:paraId="357F4621">
            <w:pPr>
              <w:pStyle w:val="15"/>
              <w:jc w:val="center"/>
              <w:rPr>
                <w:rFonts w:hint="eastAsia" w:ascii="仿宋_GB2312" w:eastAsia="仿宋_GB2312"/>
                <w:sz w:val="21"/>
                <w:szCs w:val="21"/>
              </w:rPr>
            </w:pPr>
            <w:r>
              <w:rPr>
                <w:rFonts w:hint="eastAsia" w:ascii="仿宋_GB2312" w:eastAsia="仿宋_GB2312"/>
                <w:sz w:val="21"/>
                <w:szCs w:val="21"/>
              </w:rPr>
              <w:t>事项</w:t>
            </w:r>
          </w:p>
        </w:tc>
        <w:tc>
          <w:tcPr>
            <w:tcW w:w="1207" w:type="pct"/>
            <w:vAlign w:val="center"/>
          </w:tcPr>
          <w:p w14:paraId="6EB22B4A">
            <w:pPr>
              <w:pStyle w:val="15"/>
              <w:jc w:val="center"/>
              <w:rPr>
                <w:rFonts w:hint="eastAsia" w:ascii="仿宋_GB2312" w:eastAsia="仿宋_GB2312"/>
                <w:sz w:val="21"/>
                <w:szCs w:val="21"/>
              </w:rPr>
            </w:pPr>
            <w:r>
              <w:rPr>
                <w:rFonts w:hint="eastAsia" w:ascii="仿宋_GB2312" w:eastAsia="仿宋_GB2312"/>
                <w:sz w:val="21"/>
                <w:szCs w:val="21"/>
              </w:rPr>
              <w:t>级别和加分</w:t>
            </w:r>
          </w:p>
        </w:tc>
      </w:tr>
      <w:tr w14:paraId="7E6A8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594" w:type="pct"/>
            <w:vMerge w:val="restart"/>
            <w:tcBorders>
              <w:bottom w:val="nil"/>
            </w:tcBorders>
            <w:vAlign w:val="center"/>
          </w:tcPr>
          <w:p w14:paraId="0F2A85B2">
            <w:pPr>
              <w:pStyle w:val="15"/>
              <w:jc w:val="center"/>
              <w:rPr>
                <w:rFonts w:hint="eastAsia" w:ascii="仿宋_GB2312" w:eastAsia="仿宋_GB2312"/>
                <w:sz w:val="21"/>
                <w:szCs w:val="21"/>
              </w:rPr>
            </w:pPr>
            <w:r>
              <w:rPr>
                <w:rFonts w:hint="eastAsia" w:ascii="仿宋_GB2312" w:eastAsia="仿宋_GB2312"/>
                <w:sz w:val="21"/>
                <w:szCs w:val="21"/>
              </w:rPr>
              <w:t>体育运动方面</w:t>
            </w:r>
          </w:p>
        </w:tc>
        <w:tc>
          <w:tcPr>
            <w:tcW w:w="3199" w:type="pct"/>
            <w:vAlign w:val="center"/>
          </w:tcPr>
          <w:p w14:paraId="6D57B303">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在由教育部，体育总局及全国大学生体协举办的全国性比赛中，获得单项成绩前三名或集体项目成绩前六名的主力队员(篮球:比赛中平均上场时间最多的8名运动员;</w:t>
            </w:r>
            <w:r>
              <w:rPr>
                <w:rFonts w:ascii="仿宋_GB2312" w:eastAsia="仿宋_GB2312"/>
                <w:sz w:val="21"/>
                <w:szCs w:val="21"/>
                <w:lang w:eastAsia="zh-CN"/>
              </w:rPr>
              <w:br w:type="textWrapping"/>
            </w:r>
            <w:r>
              <w:rPr>
                <w:rFonts w:hint="eastAsia" w:ascii="仿宋_GB2312" w:eastAsia="仿宋_GB2312"/>
                <w:sz w:val="21"/>
                <w:szCs w:val="21"/>
                <w:lang w:eastAsia="zh-CN"/>
              </w:rPr>
              <w:t>足球:比赛中平均上场时间最多的13名运动员)。</w:t>
            </w:r>
          </w:p>
        </w:tc>
        <w:tc>
          <w:tcPr>
            <w:tcW w:w="1207" w:type="pct"/>
            <w:vAlign w:val="center"/>
          </w:tcPr>
          <w:p w14:paraId="10328D7C">
            <w:pPr>
              <w:pStyle w:val="15"/>
              <w:jc w:val="center"/>
              <w:rPr>
                <w:rFonts w:hint="eastAsia" w:ascii="仿宋_GB2312" w:eastAsia="仿宋_GB2312"/>
                <w:sz w:val="21"/>
                <w:szCs w:val="21"/>
              </w:rPr>
            </w:pPr>
            <w:r>
              <w:rPr>
                <w:rFonts w:hint="eastAsia" w:ascii="仿宋_GB2312" w:eastAsia="仿宋_GB2312"/>
                <w:sz w:val="21"/>
                <w:szCs w:val="21"/>
              </w:rPr>
              <w:t>见拔尖项目加分规则</w:t>
            </w:r>
          </w:p>
        </w:tc>
      </w:tr>
      <w:tr w14:paraId="70D0A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594" w:type="pct"/>
            <w:vMerge w:val="continue"/>
            <w:tcBorders>
              <w:top w:val="nil"/>
              <w:bottom w:val="nil"/>
            </w:tcBorders>
            <w:vAlign w:val="center"/>
          </w:tcPr>
          <w:p w14:paraId="57ACDB34">
            <w:pPr>
              <w:jc w:val="center"/>
              <w:rPr>
                <w:rFonts w:hint="eastAsia" w:ascii="仿宋_GB2312" w:eastAsia="仿宋_GB2312"/>
                <w:szCs w:val="21"/>
              </w:rPr>
            </w:pPr>
          </w:p>
        </w:tc>
        <w:tc>
          <w:tcPr>
            <w:tcW w:w="3199" w:type="pct"/>
            <w:vAlign w:val="center"/>
          </w:tcPr>
          <w:p w14:paraId="1D623C46">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在由省教育厅，体育局及省大学生体协举办省级比赛中，获得单项成绩第一二名或集体项目成绩前三名的主力队员(篮球:比赛中平均上场时间最多的8名运动员;</w:t>
            </w:r>
          </w:p>
          <w:p w14:paraId="5CAF0FDC">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足球:比赛中平均上场时间最多的13名运动员)。</w:t>
            </w:r>
          </w:p>
        </w:tc>
        <w:tc>
          <w:tcPr>
            <w:tcW w:w="1207" w:type="pct"/>
            <w:vAlign w:val="center"/>
          </w:tcPr>
          <w:p w14:paraId="009F0D5F">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见拔尖项目加分规则</w:t>
            </w:r>
          </w:p>
        </w:tc>
      </w:tr>
      <w:tr w14:paraId="15301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594" w:type="pct"/>
            <w:vMerge w:val="continue"/>
            <w:tcBorders>
              <w:top w:val="nil"/>
              <w:bottom w:val="nil"/>
            </w:tcBorders>
            <w:vAlign w:val="center"/>
          </w:tcPr>
          <w:p w14:paraId="10E6F877">
            <w:pPr>
              <w:jc w:val="center"/>
              <w:rPr>
                <w:rFonts w:hint="eastAsia" w:ascii="仿宋_GB2312" w:eastAsia="仿宋_GB2312"/>
                <w:szCs w:val="21"/>
              </w:rPr>
            </w:pPr>
          </w:p>
        </w:tc>
        <w:tc>
          <w:tcPr>
            <w:tcW w:w="3199" w:type="pct"/>
            <w:vAlign w:val="center"/>
          </w:tcPr>
          <w:p w14:paraId="07D6A2A8">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在由省教育厅，体育局及省大学生体协举办省级比赛中，获得单项成绩第三名。</w:t>
            </w:r>
          </w:p>
        </w:tc>
        <w:tc>
          <w:tcPr>
            <w:tcW w:w="1207" w:type="pct"/>
            <w:vAlign w:val="center"/>
          </w:tcPr>
          <w:p w14:paraId="502ACE10">
            <w:pPr>
              <w:pStyle w:val="15"/>
              <w:jc w:val="center"/>
              <w:rPr>
                <w:rFonts w:hint="eastAsia" w:ascii="仿宋_GB2312" w:eastAsia="仿宋_GB2312"/>
                <w:sz w:val="21"/>
                <w:szCs w:val="21"/>
              </w:rPr>
            </w:pPr>
            <w:r>
              <w:rPr>
                <w:rFonts w:hint="eastAsia" w:ascii="仿宋_GB2312" w:eastAsia="仿宋_GB2312"/>
                <w:sz w:val="21"/>
                <w:szCs w:val="21"/>
              </w:rPr>
              <w:t>加5分</w:t>
            </w:r>
          </w:p>
        </w:tc>
      </w:tr>
      <w:tr w14:paraId="288D9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594" w:type="pct"/>
            <w:vMerge w:val="continue"/>
            <w:tcBorders>
              <w:top w:val="nil"/>
            </w:tcBorders>
            <w:vAlign w:val="center"/>
          </w:tcPr>
          <w:p w14:paraId="71DAEC68">
            <w:pPr>
              <w:jc w:val="center"/>
              <w:rPr>
                <w:rFonts w:hint="eastAsia" w:ascii="仿宋_GB2312" w:eastAsia="仿宋_GB2312"/>
                <w:szCs w:val="21"/>
              </w:rPr>
            </w:pPr>
          </w:p>
        </w:tc>
        <w:tc>
          <w:tcPr>
            <w:tcW w:w="3199" w:type="pct"/>
            <w:vAlign w:val="center"/>
          </w:tcPr>
          <w:p w14:paraId="477C7437">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校运动会，光华杯等全校竞技类运动（不含走方阵等）</w:t>
            </w:r>
            <w:r>
              <w:rPr>
                <w:rFonts w:ascii="仿宋_GB2312" w:eastAsia="仿宋_GB2312"/>
                <w:sz w:val="21"/>
                <w:szCs w:val="21"/>
                <w:lang w:eastAsia="zh-CN"/>
              </w:rPr>
              <w:br w:type="textWrapping"/>
            </w:r>
            <w:r>
              <w:rPr>
                <w:rFonts w:hint="eastAsia" w:ascii="仿宋_GB2312" w:eastAsia="仿宋_GB2312"/>
                <w:sz w:val="21"/>
                <w:szCs w:val="21"/>
                <w:lang w:eastAsia="zh-CN"/>
              </w:rPr>
              <w:t>单项成绩或集体项目第一名的主力成员100%加分；</w:t>
            </w:r>
            <w:r>
              <w:rPr>
                <w:rFonts w:ascii="仿宋_GB2312" w:eastAsia="仿宋_GB2312"/>
                <w:sz w:val="21"/>
                <w:szCs w:val="21"/>
                <w:lang w:eastAsia="zh-CN"/>
              </w:rPr>
              <w:br w:type="textWrapping"/>
            </w:r>
            <w:r>
              <w:rPr>
                <w:rFonts w:hint="eastAsia" w:ascii="仿宋_GB2312" w:eastAsia="仿宋_GB2312"/>
                <w:sz w:val="21"/>
                <w:szCs w:val="21"/>
                <w:lang w:eastAsia="zh-CN"/>
              </w:rPr>
              <w:t>(篮球:比赛中平均上场时间最多的8名运动员;</w:t>
            </w:r>
            <w:r>
              <w:rPr>
                <w:rFonts w:ascii="仿宋_GB2312" w:eastAsia="仿宋_GB2312"/>
                <w:sz w:val="21"/>
                <w:szCs w:val="21"/>
                <w:lang w:eastAsia="zh-CN"/>
              </w:rPr>
              <w:br w:type="textWrapping"/>
            </w:r>
            <w:r>
              <w:rPr>
                <w:rFonts w:hint="eastAsia" w:ascii="仿宋_GB2312" w:eastAsia="仿宋_GB2312"/>
                <w:sz w:val="21"/>
                <w:szCs w:val="21"/>
                <w:lang w:eastAsia="zh-CN"/>
              </w:rPr>
              <w:t>足球:比赛中平均上场时间最多的13名运动员)。</w:t>
            </w:r>
          </w:p>
        </w:tc>
        <w:tc>
          <w:tcPr>
            <w:tcW w:w="1207" w:type="pct"/>
            <w:vAlign w:val="center"/>
          </w:tcPr>
          <w:p w14:paraId="1F841105">
            <w:pPr>
              <w:pStyle w:val="15"/>
              <w:jc w:val="center"/>
              <w:rPr>
                <w:rFonts w:hint="eastAsia" w:ascii="仿宋_GB2312" w:eastAsia="仿宋_GB2312"/>
                <w:sz w:val="21"/>
                <w:szCs w:val="21"/>
              </w:rPr>
            </w:pPr>
            <w:r>
              <w:rPr>
                <w:rFonts w:hint="eastAsia" w:ascii="仿宋_GB2312" w:eastAsia="仿宋_GB2312"/>
                <w:sz w:val="21"/>
                <w:szCs w:val="21"/>
              </w:rPr>
              <w:t>加2分</w:t>
            </w:r>
          </w:p>
        </w:tc>
      </w:tr>
    </w:tbl>
    <w:p w14:paraId="66ED288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3.美育类</w:t>
      </w:r>
    </w:p>
    <w:p w14:paraId="61C63FE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在全国大学生艺术展演和教育部、文化部举办的全国性艺术比赛中获得全国三等奖及以上的团队和个人。一等奖第一负责人加分见拔尖项目加分规则。一等奖其他成员加分20分，二等奖全员加10分，三等奖全员加5分。同一学生在此类的同一方面有多项加分情况，只计一项。</w:t>
      </w:r>
    </w:p>
    <w:p w14:paraId="598AA9C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4.荣誉类</w:t>
      </w:r>
    </w:p>
    <w:p w14:paraId="232E59B1">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获得各类荣誉称号每项计分如表8所示。加分荣誉事项见表9。（同一学生在此类的同一方面有多项加分情况，只计一项）</w:t>
      </w:r>
    </w:p>
    <w:p w14:paraId="4433AA80">
      <w:pPr>
        <w:pStyle w:val="4"/>
      </w:pPr>
      <w:r>
        <w:t>表7</w:t>
      </w:r>
      <w:r>
        <w:rPr>
          <w:rFonts w:hint="eastAsia"/>
        </w:rPr>
        <w:t xml:space="preserve"> </w:t>
      </w:r>
      <w:r>
        <w:t xml:space="preserve"> 荣誉类加分标准</w:t>
      </w:r>
    </w:p>
    <w:tbl>
      <w:tblPr>
        <w:tblStyle w:val="16"/>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361"/>
        <w:gridCol w:w="2750"/>
        <w:gridCol w:w="2217"/>
      </w:tblGrid>
      <w:tr w14:paraId="13FF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018" w:type="pct"/>
            <w:vAlign w:val="center"/>
          </w:tcPr>
          <w:p w14:paraId="3DF69DAA">
            <w:pPr>
              <w:pStyle w:val="15"/>
              <w:jc w:val="center"/>
              <w:rPr>
                <w:rFonts w:hint="eastAsia" w:ascii="仿宋_GB2312" w:eastAsia="仿宋_GB2312"/>
                <w:sz w:val="21"/>
                <w:szCs w:val="21"/>
              </w:rPr>
            </w:pPr>
            <w:r>
              <w:rPr>
                <w:rFonts w:hint="eastAsia" w:ascii="仿宋_GB2312" w:eastAsia="仿宋_GB2312"/>
                <w:sz w:val="21"/>
                <w:szCs w:val="21"/>
              </w:rPr>
              <w:t>国家级</w:t>
            </w:r>
          </w:p>
        </w:tc>
        <w:tc>
          <w:tcPr>
            <w:tcW w:w="1651" w:type="pct"/>
            <w:vAlign w:val="center"/>
          </w:tcPr>
          <w:p w14:paraId="390B6883">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省部级、地市级（分）</w:t>
            </w:r>
          </w:p>
        </w:tc>
        <w:tc>
          <w:tcPr>
            <w:tcW w:w="1331" w:type="pct"/>
            <w:vAlign w:val="center"/>
          </w:tcPr>
          <w:p w14:paraId="05B536B2">
            <w:pPr>
              <w:pStyle w:val="15"/>
              <w:jc w:val="center"/>
              <w:rPr>
                <w:rFonts w:hint="eastAsia" w:ascii="仿宋_GB2312" w:eastAsia="仿宋_GB2312"/>
                <w:sz w:val="21"/>
                <w:szCs w:val="21"/>
              </w:rPr>
            </w:pPr>
            <w:r>
              <w:rPr>
                <w:rFonts w:hint="eastAsia" w:ascii="仿宋_GB2312" w:eastAsia="仿宋_GB2312"/>
                <w:sz w:val="21"/>
                <w:szCs w:val="21"/>
              </w:rPr>
              <w:t>校级（分）</w:t>
            </w:r>
          </w:p>
        </w:tc>
      </w:tr>
      <w:tr w14:paraId="728BB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018" w:type="pct"/>
            <w:vAlign w:val="center"/>
          </w:tcPr>
          <w:p w14:paraId="5E3E62D4">
            <w:pPr>
              <w:pStyle w:val="15"/>
              <w:jc w:val="center"/>
              <w:rPr>
                <w:rFonts w:hint="eastAsia" w:ascii="仿宋_GB2312" w:eastAsia="仿宋_GB2312"/>
                <w:sz w:val="21"/>
                <w:szCs w:val="21"/>
              </w:rPr>
            </w:pPr>
            <w:r>
              <w:rPr>
                <w:rFonts w:hint="eastAsia" w:ascii="仿宋_GB2312" w:eastAsia="仿宋_GB2312"/>
                <w:sz w:val="21"/>
                <w:szCs w:val="21"/>
              </w:rPr>
              <w:t>见拔尖项目加分规则</w:t>
            </w:r>
          </w:p>
        </w:tc>
        <w:tc>
          <w:tcPr>
            <w:tcW w:w="1651" w:type="pct"/>
            <w:vAlign w:val="center"/>
          </w:tcPr>
          <w:p w14:paraId="1A623A48">
            <w:pPr>
              <w:pStyle w:val="15"/>
              <w:jc w:val="center"/>
              <w:rPr>
                <w:rFonts w:hint="eastAsia" w:ascii="仿宋_GB2312" w:eastAsia="仿宋_GB2312"/>
                <w:sz w:val="21"/>
                <w:szCs w:val="21"/>
              </w:rPr>
            </w:pPr>
            <w:r>
              <w:rPr>
                <w:rFonts w:hint="eastAsia" w:ascii="仿宋_GB2312" w:eastAsia="仿宋_GB2312"/>
                <w:sz w:val="21"/>
                <w:szCs w:val="21"/>
              </w:rPr>
              <w:t>5</w:t>
            </w:r>
          </w:p>
        </w:tc>
        <w:tc>
          <w:tcPr>
            <w:tcW w:w="1331" w:type="pct"/>
            <w:vAlign w:val="center"/>
          </w:tcPr>
          <w:p w14:paraId="456298C6">
            <w:pPr>
              <w:pStyle w:val="15"/>
              <w:jc w:val="center"/>
              <w:rPr>
                <w:rFonts w:hint="eastAsia" w:ascii="仿宋_GB2312" w:eastAsia="仿宋_GB2312"/>
                <w:sz w:val="21"/>
                <w:szCs w:val="21"/>
              </w:rPr>
            </w:pPr>
            <w:r>
              <w:rPr>
                <w:rFonts w:hint="eastAsia" w:ascii="仿宋_GB2312" w:eastAsia="仿宋_GB2312"/>
                <w:sz w:val="21"/>
                <w:szCs w:val="21"/>
              </w:rPr>
              <w:t>2</w:t>
            </w:r>
          </w:p>
        </w:tc>
      </w:tr>
    </w:tbl>
    <w:p w14:paraId="6855CF26">
      <w:pPr>
        <w:widowControl/>
        <w:jc w:val="left"/>
        <w:rPr>
          <w:rFonts w:ascii="黑体" w:hAnsi="黑体" w:eastAsia="黑体" w:cs="仿宋"/>
          <w:szCs w:val="21"/>
        </w:rPr>
      </w:pPr>
      <w:r>
        <w:rPr>
          <w:rFonts w:ascii="黑体" w:hAnsi="黑体" w:eastAsia="黑体"/>
          <w:szCs w:val="21"/>
        </w:rPr>
        <w:br w:type="page"/>
      </w:r>
    </w:p>
    <w:p w14:paraId="0B7F42EC">
      <w:pPr>
        <w:pStyle w:val="5"/>
        <w:spacing w:before="120" w:beforeLines="50" w:after="120" w:afterLines="50"/>
        <w:jc w:val="center"/>
        <w:rPr>
          <w:rFonts w:ascii="黑体" w:hAnsi="黑体" w:eastAsia="黑体"/>
          <w:sz w:val="21"/>
          <w:szCs w:val="21"/>
          <w:lang w:eastAsia="zh-CN"/>
        </w:rPr>
      </w:pPr>
      <w:r>
        <w:rPr>
          <w:rFonts w:ascii="黑体" w:hAnsi="黑体" w:eastAsia="黑体"/>
          <w:sz w:val="21"/>
          <w:szCs w:val="21"/>
          <w:lang w:eastAsia="zh-CN"/>
        </w:rPr>
        <w:t>表8</w:t>
      </w:r>
      <w:r>
        <w:rPr>
          <w:rFonts w:hint="eastAsia" w:ascii="黑体" w:hAnsi="黑体" w:eastAsia="黑体"/>
          <w:sz w:val="21"/>
          <w:szCs w:val="21"/>
          <w:lang w:eastAsia="zh-CN"/>
        </w:rPr>
        <w:t xml:space="preserve"> </w:t>
      </w:r>
      <w:r>
        <w:rPr>
          <w:rFonts w:ascii="黑体" w:hAnsi="黑体" w:eastAsia="黑体"/>
          <w:sz w:val="21"/>
          <w:szCs w:val="21"/>
          <w:lang w:eastAsia="zh-CN"/>
        </w:rPr>
        <w:t xml:space="preserve"> 荣誉类加分标准</w:t>
      </w:r>
    </w:p>
    <w:tbl>
      <w:tblPr>
        <w:tblStyle w:val="1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419"/>
        <w:gridCol w:w="4909"/>
      </w:tblGrid>
      <w:tr w14:paraId="32D66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2053" w:type="pct"/>
            <w:vAlign w:val="center"/>
          </w:tcPr>
          <w:p w14:paraId="57C6FC00">
            <w:pPr>
              <w:pStyle w:val="15"/>
              <w:jc w:val="center"/>
              <w:rPr>
                <w:rFonts w:hint="eastAsia" w:ascii="仿宋_GB2312" w:eastAsia="仿宋_GB2312"/>
                <w:sz w:val="21"/>
                <w:szCs w:val="21"/>
              </w:rPr>
            </w:pPr>
            <w:r>
              <w:rPr>
                <w:rFonts w:hint="eastAsia" w:ascii="仿宋_GB2312" w:eastAsia="仿宋_GB2312"/>
                <w:sz w:val="21"/>
                <w:szCs w:val="21"/>
              </w:rPr>
              <w:t>方面</w:t>
            </w:r>
          </w:p>
        </w:tc>
        <w:tc>
          <w:tcPr>
            <w:tcW w:w="2947" w:type="pct"/>
            <w:vAlign w:val="center"/>
          </w:tcPr>
          <w:p w14:paraId="07BE83E4">
            <w:pPr>
              <w:pStyle w:val="15"/>
              <w:jc w:val="center"/>
              <w:rPr>
                <w:rFonts w:hint="eastAsia" w:ascii="仿宋_GB2312" w:eastAsia="仿宋_GB2312"/>
                <w:sz w:val="21"/>
                <w:szCs w:val="21"/>
              </w:rPr>
            </w:pPr>
            <w:r>
              <w:rPr>
                <w:rFonts w:hint="eastAsia" w:ascii="仿宋_GB2312" w:eastAsia="仿宋_GB2312"/>
                <w:sz w:val="21"/>
                <w:szCs w:val="21"/>
              </w:rPr>
              <w:t>获奖名称</w:t>
            </w:r>
          </w:p>
        </w:tc>
      </w:tr>
      <w:tr w14:paraId="3E104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2053" w:type="pct"/>
            <w:vAlign w:val="center"/>
          </w:tcPr>
          <w:p w14:paraId="66371BD6">
            <w:pPr>
              <w:pStyle w:val="15"/>
              <w:jc w:val="center"/>
              <w:rPr>
                <w:rFonts w:hint="eastAsia" w:ascii="仿宋_GB2312" w:eastAsia="仿宋_GB2312"/>
                <w:sz w:val="21"/>
                <w:szCs w:val="21"/>
              </w:rPr>
            </w:pPr>
            <w:r>
              <w:rPr>
                <w:rFonts w:hint="eastAsia" w:ascii="仿宋_GB2312" w:eastAsia="仿宋_GB2312"/>
                <w:sz w:val="21"/>
                <w:szCs w:val="21"/>
              </w:rPr>
              <w:t>学业荣誉方面</w:t>
            </w:r>
          </w:p>
        </w:tc>
        <w:tc>
          <w:tcPr>
            <w:tcW w:w="2947" w:type="pct"/>
            <w:vAlign w:val="center"/>
          </w:tcPr>
          <w:p w14:paraId="6B33D21B">
            <w:pPr>
              <w:pStyle w:val="15"/>
              <w:jc w:val="center"/>
              <w:rPr>
                <w:rFonts w:hint="eastAsia" w:ascii="仿宋_GB2312" w:eastAsia="仿宋_GB2312"/>
                <w:sz w:val="21"/>
                <w:szCs w:val="21"/>
              </w:rPr>
            </w:pPr>
            <w:r>
              <w:rPr>
                <w:rFonts w:hint="eastAsia" w:ascii="仿宋_GB2312" w:eastAsia="仿宋_GB2312"/>
                <w:sz w:val="21"/>
                <w:szCs w:val="21"/>
              </w:rPr>
              <w:t>数学荣誉课程证书</w:t>
            </w:r>
          </w:p>
        </w:tc>
      </w:tr>
      <w:tr w14:paraId="547C9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2053" w:type="pct"/>
            <w:vMerge w:val="restart"/>
            <w:tcBorders>
              <w:bottom w:val="nil"/>
            </w:tcBorders>
            <w:vAlign w:val="center"/>
          </w:tcPr>
          <w:p w14:paraId="0CF92D92">
            <w:pPr>
              <w:pStyle w:val="15"/>
              <w:jc w:val="center"/>
              <w:rPr>
                <w:rFonts w:hint="eastAsia" w:ascii="仿宋_GB2312" w:eastAsia="仿宋_GB2312"/>
                <w:sz w:val="21"/>
                <w:szCs w:val="21"/>
              </w:rPr>
            </w:pPr>
            <w:r>
              <w:rPr>
                <w:rFonts w:hint="eastAsia" w:ascii="仿宋_GB2312" w:eastAsia="仿宋_GB2312"/>
                <w:sz w:val="21"/>
                <w:szCs w:val="21"/>
              </w:rPr>
              <w:t>政治品德荣誉方面</w:t>
            </w:r>
          </w:p>
        </w:tc>
        <w:tc>
          <w:tcPr>
            <w:tcW w:w="2947" w:type="pct"/>
            <w:vAlign w:val="center"/>
          </w:tcPr>
          <w:p w14:paraId="4E56014C">
            <w:pPr>
              <w:pStyle w:val="15"/>
              <w:jc w:val="center"/>
              <w:rPr>
                <w:rFonts w:hint="eastAsia" w:ascii="仿宋_GB2312" w:eastAsia="仿宋_GB2312"/>
                <w:sz w:val="21"/>
                <w:szCs w:val="21"/>
              </w:rPr>
            </w:pPr>
            <w:r>
              <w:rPr>
                <w:rFonts w:hint="eastAsia" w:ascii="仿宋_GB2312" w:eastAsia="仿宋_GB2312"/>
                <w:sz w:val="21"/>
                <w:szCs w:val="21"/>
              </w:rPr>
              <w:t>优秀大学生</w:t>
            </w:r>
          </w:p>
        </w:tc>
      </w:tr>
      <w:tr w14:paraId="4F69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2053" w:type="pct"/>
            <w:vMerge w:val="continue"/>
            <w:tcBorders>
              <w:top w:val="nil"/>
              <w:bottom w:val="nil"/>
            </w:tcBorders>
            <w:vAlign w:val="center"/>
          </w:tcPr>
          <w:p w14:paraId="49BFB0A6">
            <w:pPr>
              <w:jc w:val="center"/>
              <w:rPr>
                <w:rFonts w:hint="eastAsia" w:ascii="仿宋_GB2312" w:eastAsia="仿宋_GB2312"/>
                <w:szCs w:val="21"/>
              </w:rPr>
            </w:pPr>
          </w:p>
        </w:tc>
        <w:tc>
          <w:tcPr>
            <w:tcW w:w="2947" w:type="pct"/>
            <w:vAlign w:val="center"/>
          </w:tcPr>
          <w:p w14:paraId="59E8B4B5">
            <w:pPr>
              <w:pStyle w:val="15"/>
              <w:jc w:val="center"/>
              <w:rPr>
                <w:rFonts w:hint="eastAsia" w:ascii="仿宋_GB2312" w:eastAsia="仿宋_GB2312"/>
                <w:sz w:val="21"/>
                <w:szCs w:val="21"/>
              </w:rPr>
            </w:pPr>
            <w:r>
              <w:rPr>
                <w:rFonts w:hint="eastAsia" w:ascii="仿宋_GB2312" w:eastAsia="仿宋_GB2312"/>
                <w:sz w:val="21"/>
                <w:szCs w:val="21"/>
              </w:rPr>
              <w:t>三好学生</w:t>
            </w:r>
          </w:p>
        </w:tc>
      </w:tr>
      <w:tr w14:paraId="1972B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2053" w:type="pct"/>
            <w:vMerge w:val="continue"/>
            <w:tcBorders>
              <w:top w:val="nil"/>
              <w:bottom w:val="nil"/>
            </w:tcBorders>
            <w:vAlign w:val="center"/>
          </w:tcPr>
          <w:p w14:paraId="1A82C783">
            <w:pPr>
              <w:jc w:val="center"/>
              <w:rPr>
                <w:rFonts w:hint="eastAsia" w:ascii="仿宋_GB2312" w:eastAsia="仿宋_GB2312"/>
                <w:szCs w:val="21"/>
              </w:rPr>
            </w:pPr>
          </w:p>
        </w:tc>
        <w:tc>
          <w:tcPr>
            <w:tcW w:w="2947" w:type="pct"/>
            <w:vAlign w:val="center"/>
          </w:tcPr>
          <w:p w14:paraId="262CA2EA">
            <w:pPr>
              <w:pStyle w:val="15"/>
              <w:jc w:val="center"/>
              <w:rPr>
                <w:rFonts w:hint="eastAsia" w:ascii="仿宋_GB2312" w:eastAsia="仿宋_GB2312"/>
                <w:sz w:val="21"/>
                <w:szCs w:val="21"/>
              </w:rPr>
            </w:pPr>
            <w:r>
              <w:rPr>
                <w:rFonts w:hint="eastAsia" w:ascii="仿宋_GB2312" w:eastAsia="仿宋_GB2312"/>
                <w:sz w:val="21"/>
                <w:szCs w:val="21"/>
              </w:rPr>
              <w:t>优秀学生干部</w:t>
            </w:r>
          </w:p>
        </w:tc>
      </w:tr>
      <w:tr w14:paraId="5DA9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2053" w:type="pct"/>
            <w:vMerge w:val="continue"/>
            <w:tcBorders>
              <w:top w:val="nil"/>
              <w:bottom w:val="nil"/>
            </w:tcBorders>
            <w:vAlign w:val="center"/>
          </w:tcPr>
          <w:p w14:paraId="612D7F11">
            <w:pPr>
              <w:jc w:val="center"/>
              <w:rPr>
                <w:rFonts w:hint="eastAsia" w:ascii="仿宋_GB2312" w:eastAsia="仿宋_GB2312"/>
                <w:szCs w:val="21"/>
              </w:rPr>
            </w:pPr>
          </w:p>
        </w:tc>
        <w:tc>
          <w:tcPr>
            <w:tcW w:w="2947" w:type="pct"/>
            <w:vAlign w:val="center"/>
          </w:tcPr>
          <w:p w14:paraId="29708BA4">
            <w:pPr>
              <w:pStyle w:val="15"/>
              <w:jc w:val="center"/>
              <w:rPr>
                <w:rFonts w:hint="eastAsia" w:ascii="仿宋_GB2312" w:eastAsia="仿宋_GB2312"/>
                <w:sz w:val="21"/>
                <w:szCs w:val="21"/>
              </w:rPr>
            </w:pPr>
            <w:r>
              <w:rPr>
                <w:rFonts w:hint="eastAsia" w:ascii="仿宋_GB2312" w:eastAsia="仿宋_GB2312"/>
                <w:sz w:val="21"/>
                <w:szCs w:val="21"/>
              </w:rPr>
              <w:t>优秀共产党员</w:t>
            </w:r>
          </w:p>
        </w:tc>
      </w:tr>
      <w:tr w14:paraId="26D23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2053" w:type="pct"/>
            <w:vMerge w:val="continue"/>
            <w:tcBorders>
              <w:top w:val="nil"/>
              <w:bottom w:val="nil"/>
            </w:tcBorders>
            <w:vAlign w:val="center"/>
          </w:tcPr>
          <w:p w14:paraId="55F48F30">
            <w:pPr>
              <w:jc w:val="center"/>
              <w:rPr>
                <w:rFonts w:hint="eastAsia" w:ascii="仿宋_GB2312" w:eastAsia="仿宋_GB2312"/>
                <w:szCs w:val="21"/>
              </w:rPr>
            </w:pPr>
          </w:p>
        </w:tc>
        <w:tc>
          <w:tcPr>
            <w:tcW w:w="2947" w:type="pct"/>
            <w:vAlign w:val="center"/>
          </w:tcPr>
          <w:p w14:paraId="2225FFC7">
            <w:pPr>
              <w:pStyle w:val="15"/>
              <w:jc w:val="center"/>
              <w:rPr>
                <w:rFonts w:hint="eastAsia" w:ascii="仿宋_GB2312" w:eastAsia="仿宋_GB2312"/>
                <w:sz w:val="21"/>
                <w:szCs w:val="21"/>
              </w:rPr>
            </w:pPr>
            <w:r>
              <w:rPr>
                <w:rFonts w:hint="eastAsia" w:ascii="仿宋_GB2312" w:eastAsia="仿宋_GB2312"/>
                <w:sz w:val="21"/>
                <w:szCs w:val="21"/>
              </w:rPr>
              <w:t>优秀共青团员</w:t>
            </w:r>
          </w:p>
        </w:tc>
      </w:tr>
      <w:tr w14:paraId="63984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2053" w:type="pct"/>
            <w:vMerge w:val="continue"/>
            <w:tcBorders>
              <w:top w:val="nil"/>
            </w:tcBorders>
            <w:vAlign w:val="center"/>
          </w:tcPr>
          <w:p w14:paraId="69DCE36E">
            <w:pPr>
              <w:jc w:val="center"/>
              <w:rPr>
                <w:rFonts w:hint="eastAsia" w:ascii="仿宋_GB2312" w:eastAsia="仿宋_GB2312"/>
                <w:szCs w:val="21"/>
              </w:rPr>
            </w:pPr>
          </w:p>
        </w:tc>
        <w:tc>
          <w:tcPr>
            <w:tcW w:w="2947" w:type="pct"/>
            <w:vAlign w:val="center"/>
          </w:tcPr>
          <w:p w14:paraId="5A0DEF0A">
            <w:pPr>
              <w:pStyle w:val="15"/>
              <w:jc w:val="center"/>
              <w:rPr>
                <w:rFonts w:hint="eastAsia" w:ascii="仿宋_GB2312" w:eastAsia="仿宋_GB2312"/>
                <w:sz w:val="21"/>
                <w:szCs w:val="21"/>
              </w:rPr>
            </w:pPr>
            <w:r>
              <w:rPr>
                <w:rFonts w:hint="eastAsia" w:ascii="仿宋_GB2312" w:eastAsia="仿宋_GB2312"/>
                <w:sz w:val="21"/>
                <w:szCs w:val="21"/>
              </w:rPr>
              <w:t>优秀共青团干部</w:t>
            </w:r>
          </w:p>
        </w:tc>
      </w:tr>
    </w:tbl>
    <w:p w14:paraId="2CA4904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5.劳动教育类</w:t>
      </w:r>
    </w:p>
    <w:p w14:paraId="5D6C8B08">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获得劳动技能方面国家级奖励及竞赛获得全国三等奖及以上的团队和个人。一等奖加分见拔尖项目加分规则。二等奖全员加10分，三等奖全员加5分。同一学生在此类的同一方面有多项加分情况，只计一项。</w:t>
      </w:r>
    </w:p>
    <w:p w14:paraId="281E9EDB">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6.社会实践类</w:t>
      </w:r>
    </w:p>
    <w:p w14:paraId="39A0C2F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包含社会实践项目、国际组织实习与志愿者服务、精神文明建设、和谐社会创建等方面。同一学生在此类的同一方面有多项加分情况，只计一项。</w:t>
      </w:r>
    </w:p>
    <w:p w14:paraId="67641209">
      <w:pPr>
        <w:pStyle w:val="4"/>
      </w:pPr>
      <w:r>
        <w:t>表9</w:t>
      </w:r>
      <w:r>
        <w:rPr>
          <w:rFonts w:hint="eastAsia"/>
        </w:rPr>
        <w:t xml:space="preserve"> </w:t>
      </w:r>
      <w:r>
        <w:t xml:space="preserve"> 社会实践类加分标准</w:t>
      </w:r>
    </w:p>
    <w:tbl>
      <w:tblPr>
        <w:tblStyle w:val="16"/>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00"/>
        <w:gridCol w:w="4117"/>
        <w:gridCol w:w="2501"/>
      </w:tblGrid>
      <w:tr w14:paraId="6A19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022" w:type="pct"/>
            <w:vAlign w:val="center"/>
          </w:tcPr>
          <w:p w14:paraId="08F23DFA">
            <w:pPr>
              <w:pStyle w:val="15"/>
              <w:jc w:val="center"/>
              <w:rPr>
                <w:rFonts w:hint="eastAsia" w:ascii="仿宋_GB2312" w:eastAsia="仿宋_GB2312"/>
                <w:sz w:val="21"/>
                <w:szCs w:val="21"/>
              </w:rPr>
            </w:pPr>
            <w:r>
              <w:rPr>
                <w:rFonts w:hint="eastAsia" w:ascii="仿宋_GB2312" w:eastAsia="仿宋_GB2312"/>
                <w:sz w:val="21"/>
                <w:szCs w:val="21"/>
              </w:rPr>
              <w:t>方面</w:t>
            </w:r>
          </w:p>
        </w:tc>
        <w:tc>
          <w:tcPr>
            <w:tcW w:w="2475" w:type="pct"/>
            <w:vAlign w:val="center"/>
          </w:tcPr>
          <w:p w14:paraId="50404549">
            <w:pPr>
              <w:pStyle w:val="15"/>
              <w:jc w:val="center"/>
              <w:rPr>
                <w:rFonts w:hint="eastAsia" w:ascii="仿宋_GB2312" w:eastAsia="仿宋_GB2312"/>
                <w:sz w:val="21"/>
                <w:szCs w:val="21"/>
              </w:rPr>
            </w:pPr>
            <w:r>
              <w:rPr>
                <w:rFonts w:hint="eastAsia" w:ascii="仿宋_GB2312" w:eastAsia="仿宋_GB2312"/>
                <w:sz w:val="21"/>
                <w:szCs w:val="21"/>
              </w:rPr>
              <w:t>事项</w:t>
            </w:r>
          </w:p>
        </w:tc>
        <w:tc>
          <w:tcPr>
            <w:tcW w:w="1503" w:type="pct"/>
            <w:vAlign w:val="center"/>
          </w:tcPr>
          <w:p w14:paraId="4CAED477">
            <w:pPr>
              <w:pStyle w:val="15"/>
              <w:jc w:val="center"/>
              <w:rPr>
                <w:rFonts w:hint="eastAsia" w:ascii="仿宋_GB2312" w:eastAsia="仿宋_GB2312"/>
                <w:sz w:val="21"/>
                <w:szCs w:val="21"/>
              </w:rPr>
            </w:pPr>
            <w:r>
              <w:rPr>
                <w:rFonts w:hint="eastAsia" w:ascii="仿宋_GB2312" w:eastAsia="仿宋_GB2312"/>
                <w:sz w:val="21"/>
                <w:szCs w:val="21"/>
              </w:rPr>
              <w:t>级别</w:t>
            </w:r>
          </w:p>
        </w:tc>
      </w:tr>
      <w:tr w14:paraId="29144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022" w:type="pct"/>
            <w:vAlign w:val="center"/>
          </w:tcPr>
          <w:p w14:paraId="341C8DC9">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国际组织实习和志愿者方面</w:t>
            </w:r>
          </w:p>
        </w:tc>
        <w:tc>
          <w:tcPr>
            <w:tcW w:w="2475" w:type="pct"/>
            <w:vAlign w:val="center"/>
          </w:tcPr>
          <w:p w14:paraId="4678262B">
            <w:pPr>
              <w:pStyle w:val="15"/>
              <w:rPr>
                <w:rFonts w:hint="eastAsia" w:ascii="仿宋_GB2312" w:eastAsia="仿宋_GB2312"/>
                <w:sz w:val="21"/>
                <w:szCs w:val="21"/>
                <w:lang w:eastAsia="zh-CN"/>
              </w:rPr>
            </w:pPr>
            <w:r>
              <w:rPr>
                <w:rFonts w:hint="eastAsia" w:ascii="仿宋_GB2312" w:eastAsia="仿宋_GB2312"/>
                <w:sz w:val="21"/>
                <w:szCs w:val="21"/>
                <w:lang w:eastAsia="zh-CN"/>
              </w:rPr>
              <w:t>截止当年学校推免生工作通知确定的时间前，取得我国教育部所列的国际组织的实习录用通知书或工作录用通知书，并实质性参加实习3个月及以上的，加15分。原则上实习应通过公开渠道招募，且应为实地实习。</w:t>
            </w:r>
          </w:p>
          <w:p w14:paraId="0A5D2AC6">
            <w:pPr>
              <w:pStyle w:val="15"/>
              <w:rPr>
                <w:rFonts w:hint="eastAsia" w:ascii="仿宋_GB2312" w:eastAsia="仿宋_GB2312"/>
                <w:sz w:val="21"/>
                <w:szCs w:val="21"/>
                <w:lang w:eastAsia="zh-CN"/>
              </w:rPr>
            </w:pPr>
            <w:r>
              <w:rPr>
                <w:rFonts w:hint="eastAsia" w:ascii="仿宋_GB2312" w:eastAsia="仿宋_GB2312"/>
                <w:sz w:val="21"/>
                <w:szCs w:val="21"/>
                <w:lang w:eastAsia="zh-CN"/>
              </w:rPr>
              <w:t>参加国际组织会议：受邀实地参加我国教育部所列的国际组织主办或承办的国际性主会议或分会议并在会议中进行主题发言或做报告1次及以上，加15分。</w:t>
            </w:r>
          </w:p>
          <w:p w14:paraId="333E97AA">
            <w:pPr>
              <w:pStyle w:val="15"/>
              <w:rPr>
                <w:rFonts w:hint="eastAsia" w:ascii="仿宋_GB2312" w:eastAsia="仿宋_GB2312"/>
                <w:sz w:val="21"/>
                <w:szCs w:val="21"/>
                <w:lang w:eastAsia="zh-CN"/>
              </w:rPr>
            </w:pPr>
            <w:r>
              <w:rPr>
                <w:rFonts w:hint="eastAsia" w:ascii="仿宋_GB2312" w:eastAsia="仿宋_GB2312"/>
                <w:sz w:val="21"/>
                <w:szCs w:val="21"/>
                <w:lang w:eastAsia="zh-CN"/>
              </w:rPr>
              <w:t>本条所列国际组织实习和参会与拔尖项目国际组织实习和参会不重复加分，且只能申请1项加分，按最高级别计。</w:t>
            </w:r>
          </w:p>
        </w:tc>
        <w:tc>
          <w:tcPr>
            <w:tcW w:w="1503" w:type="pct"/>
            <w:vAlign w:val="center"/>
          </w:tcPr>
          <w:p w14:paraId="6CB9A5A3">
            <w:pPr>
              <w:pStyle w:val="15"/>
              <w:rPr>
                <w:rFonts w:hint="eastAsia" w:ascii="仿宋_GB2312" w:eastAsia="仿宋_GB2312"/>
                <w:sz w:val="21"/>
                <w:szCs w:val="21"/>
                <w:lang w:eastAsia="zh-CN"/>
              </w:rPr>
            </w:pPr>
            <w:r>
              <w:rPr>
                <w:rFonts w:hint="eastAsia" w:ascii="仿宋_GB2312" w:eastAsia="仿宋_GB2312"/>
                <w:sz w:val="21"/>
                <w:szCs w:val="21"/>
                <w:lang w:eastAsia="zh-CN"/>
              </w:rPr>
              <w:t>其他拔尖国际组织实习和国际组织会议见拔尖项目加分规则。</w:t>
            </w:r>
          </w:p>
        </w:tc>
      </w:tr>
      <w:tr w14:paraId="2539D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022" w:type="pct"/>
            <w:vAlign w:val="center"/>
          </w:tcPr>
          <w:p w14:paraId="0904BF60">
            <w:pPr>
              <w:pStyle w:val="15"/>
              <w:jc w:val="center"/>
              <w:rPr>
                <w:rFonts w:hint="eastAsia" w:ascii="仿宋_GB2312" w:eastAsia="仿宋_GB2312"/>
                <w:sz w:val="21"/>
                <w:szCs w:val="21"/>
                <w:lang w:eastAsia="zh-CN"/>
              </w:rPr>
            </w:pPr>
            <w:r>
              <w:rPr>
                <w:rFonts w:hint="eastAsia" w:ascii="仿宋_GB2312" w:eastAsia="仿宋_GB2312"/>
                <w:sz w:val="21"/>
                <w:szCs w:val="21"/>
                <w:lang w:eastAsia="zh-CN"/>
              </w:rPr>
              <w:t>精神文明建设、和谐社会创建方面</w:t>
            </w:r>
          </w:p>
        </w:tc>
        <w:tc>
          <w:tcPr>
            <w:tcW w:w="2475" w:type="pct"/>
            <w:vAlign w:val="center"/>
          </w:tcPr>
          <w:p w14:paraId="162E6D24">
            <w:pPr>
              <w:pStyle w:val="15"/>
              <w:rPr>
                <w:rFonts w:hint="eastAsia" w:ascii="仿宋_GB2312" w:eastAsia="仿宋_GB2312"/>
                <w:sz w:val="21"/>
                <w:szCs w:val="21"/>
                <w:lang w:eastAsia="zh-CN"/>
              </w:rPr>
            </w:pPr>
            <w:r>
              <w:rPr>
                <w:rFonts w:hint="eastAsia" w:ascii="仿宋_GB2312" w:eastAsia="仿宋_GB2312"/>
                <w:sz w:val="21"/>
                <w:szCs w:val="21"/>
                <w:lang w:eastAsia="zh-CN"/>
              </w:rPr>
              <w:t>个人的见义勇为、救灾抢险、志愿服务、支教扶贫等典型事例被有关媒体报道。</w:t>
            </w:r>
          </w:p>
        </w:tc>
        <w:tc>
          <w:tcPr>
            <w:tcW w:w="1503" w:type="pct"/>
            <w:vAlign w:val="center"/>
          </w:tcPr>
          <w:p w14:paraId="0E1DB873">
            <w:pPr>
              <w:pStyle w:val="15"/>
              <w:rPr>
                <w:rFonts w:hint="eastAsia" w:ascii="仿宋_GB2312" w:eastAsia="仿宋_GB2312"/>
                <w:sz w:val="21"/>
                <w:szCs w:val="21"/>
                <w:lang w:eastAsia="zh-CN"/>
              </w:rPr>
            </w:pPr>
            <w:r>
              <w:rPr>
                <w:rFonts w:hint="eastAsia" w:ascii="仿宋_GB2312" w:eastAsia="仿宋_GB2312"/>
                <w:sz w:val="21"/>
                <w:szCs w:val="21"/>
                <w:lang w:eastAsia="zh-CN"/>
              </w:rPr>
              <w:t>国家级媒体计5分、省市级媒体计3分</w:t>
            </w:r>
          </w:p>
        </w:tc>
      </w:tr>
      <w:tr w14:paraId="2A1DC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022" w:type="pct"/>
            <w:shd w:val="clear" w:color="auto" w:fill="auto"/>
            <w:vAlign w:val="center"/>
          </w:tcPr>
          <w:p w14:paraId="7E81A8EE">
            <w:pPr>
              <w:pStyle w:val="15"/>
              <w:jc w:val="center"/>
              <w:rPr>
                <w:rFonts w:hint="eastAsia" w:ascii="仿宋_GB2312" w:eastAsia="仿宋_GB2312"/>
                <w:sz w:val="21"/>
                <w:szCs w:val="21"/>
              </w:rPr>
            </w:pPr>
            <w:r>
              <w:rPr>
                <w:rFonts w:hint="eastAsia" w:ascii="仿宋_GB2312" w:eastAsia="仿宋_GB2312"/>
                <w:sz w:val="21"/>
                <w:szCs w:val="21"/>
              </w:rPr>
              <w:t>社会实践方面</w:t>
            </w:r>
          </w:p>
        </w:tc>
        <w:tc>
          <w:tcPr>
            <w:tcW w:w="2475" w:type="pct"/>
            <w:shd w:val="clear" w:color="auto" w:fill="auto"/>
            <w:vAlign w:val="center"/>
          </w:tcPr>
          <w:p w14:paraId="19131F06">
            <w:pPr>
              <w:pStyle w:val="15"/>
              <w:rPr>
                <w:rFonts w:hint="eastAsia" w:ascii="仿宋_GB2312" w:eastAsia="仿宋_GB2312"/>
                <w:sz w:val="21"/>
                <w:szCs w:val="21"/>
                <w:lang w:eastAsia="zh-CN"/>
              </w:rPr>
            </w:pPr>
            <w:r>
              <w:rPr>
                <w:rFonts w:hint="eastAsia" w:ascii="仿宋_GB2312" w:eastAsia="仿宋_GB2312"/>
                <w:sz w:val="21"/>
                <w:szCs w:val="21"/>
                <w:lang w:eastAsia="zh-CN"/>
              </w:rPr>
              <w:t>社会实践先进个人，团队，优秀项目（含暑期三下乡；西财暖冬；把西财带回母校）注：社会实践先进团队负责人可获项目总分的100%的加分，每位项目组成员加分为项目负责人加分的80%。</w:t>
            </w:r>
          </w:p>
        </w:tc>
        <w:tc>
          <w:tcPr>
            <w:tcW w:w="1503" w:type="pct"/>
            <w:shd w:val="clear" w:color="auto" w:fill="auto"/>
            <w:vAlign w:val="center"/>
          </w:tcPr>
          <w:p w14:paraId="0D99E414">
            <w:pPr>
              <w:pStyle w:val="15"/>
              <w:rPr>
                <w:rFonts w:hint="eastAsia" w:ascii="仿宋_GB2312" w:eastAsia="仿宋_GB2312"/>
                <w:sz w:val="21"/>
                <w:szCs w:val="21"/>
                <w:lang w:eastAsia="zh-CN"/>
              </w:rPr>
            </w:pPr>
            <w:r>
              <w:rPr>
                <w:rFonts w:hint="eastAsia" w:ascii="仿宋_GB2312" w:eastAsia="仿宋_GB2312"/>
                <w:sz w:val="21"/>
                <w:szCs w:val="21"/>
                <w:lang w:eastAsia="zh-CN"/>
              </w:rPr>
              <w:t>①满足拔尖项目加分规则的按照学校要求认定。国家级三下乡优秀团队其他成员加分10分。</w:t>
            </w:r>
          </w:p>
          <w:p w14:paraId="63CF7DE6">
            <w:pPr>
              <w:pStyle w:val="15"/>
              <w:rPr>
                <w:rFonts w:hint="eastAsia" w:ascii="仿宋_GB2312" w:eastAsia="仿宋_GB2312"/>
                <w:sz w:val="21"/>
                <w:szCs w:val="21"/>
                <w:lang w:eastAsia="zh-CN"/>
              </w:rPr>
            </w:pPr>
            <w:r>
              <w:rPr>
                <w:rFonts w:hint="eastAsia" w:ascii="仿宋_GB2312" w:eastAsia="仿宋_GB2312"/>
                <w:sz w:val="21"/>
                <w:szCs w:val="21"/>
                <w:lang w:eastAsia="zh-CN"/>
              </w:rPr>
              <w:t>②省级加5分；校级2分</w:t>
            </w:r>
          </w:p>
        </w:tc>
      </w:tr>
    </w:tbl>
    <w:p w14:paraId="5BEC5562">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三、拔尖项目加分规则</w:t>
      </w:r>
    </w:p>
    <w:p w14:paraId="14947C4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学生有满足以下条件者，每项直接按照下表加分分值计分。学生在不同方面获得奖项可以累积加分，在同一方面中有多项加分情况时，只取一项。加分直接计入综合能力加分中，综合能力加分总分超过100分的按100分计。已获得拔尖项目加分的，其对应的同一方面综合能力加分项目不再重复加分。</w:t>
      </w:r>
    </w:p>
    <w:p w14:paraId="1F7063F2">
      <w:pPr>
        <w:pStyle w:val="4"/>
      </w:pPr>
      <w:r>
        <w:t>表10</w:t>
      </w:r>
      <w:r>
        <w:rPr>
          <w:rFonts w:hint="eastAsia"/>
        </w:rPr>
        <w:t xml:space="preserve"> </w:t>
      </w:r>
      <w:r>
        <w:t xml:space="preserve"> 拔尖项目加分标准</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35"/>
        <w:gridCol w:w="6048"/>
        <w:gridCol w:w="939"/>
      </w:tblGrid>
      <w:tr w14:paraId="0ACC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802" w:type="pct"/>
            <w:vAlign w:val="center"/>
          </w:tcPr>
          <w:p w14:paraId="48512811">
            <w:pPr>
              <w:pStyle w:val="15"/>
              <w:jc w:val="center"/>
              <w:rPr>
                <w:rFonts w:hint="eastAsia" w:ascii="仿宋_GB2312" w:eastAsia="仿宋_GB2312"/>
                <w:sz w:val="21"/>
                <w:szCs w:val="21"/>
              </w:rPr>
            </w:pPr>
            <w:r>
              <w:rPr>
                <w:rFonts w:hint="eastAsia" w:ascii="仿宋_GB2312" w:eastAsia="仿宋_GB2312"/>
                <w:sz w:val="21"/>
                <w:szCs w:val="21"/>
              </w:rPr>
              <w:t>项目类别</w:t>
            </w:r>
          </w:p>
        </w:tc>
        <w:tc>
          <w:tcPr>
            <w:tcW w:w="3634" w:type="pct"/>
            <w:vAlign w:val="center"/>
          </w:tcPr>
          <w:p w14:paraId="6C7AE5C5">
            <w:pPr>
              <w:pStyle w:val="15"/>
              <w:jc w:val="center"/>
              <w:rPr>
                <w:rFonts w:hint="eastAsia" w:ascii="仿宋_GB2312" w:eastAsia="仿宋_GB2312"/>
                <w:sz w:val="21"/>
                <w:szCs w:val="21"/>
              </w:rPr>
            </w:pPr>
            <w:r>
              <w:rPr>
                <w:rFonts w:hint="eastAsia" w:ascii="仿宋_GB2312" w:eastAsia="仿宋_GB2312"/>
                <w:sz w:val="21"/>
                <w:szCs w:val="21"/>
              </w:rPr>
              <w:t>项目名称</w:t>
            </w:r>
          </w:p>
        </w:tc>
        <w:tc>
          <w:tcPr>
            <w:tcW w:w="564" w:type="pct"/>
            <w:vAlign w:val="center"/>
          </w:tcPr>
          <w:p w14:paraId="41CDAF5A">
            <w:pPr>
              <w:pStyle w:val="15"/>
              <w:jc w:val="center"/>
              <w:rPr>
                <w:rFonts w:hint="eastAsia" w:ascii="仿宋_GB2312" w:eastAsia="仿宋_GB2312"/>
                <w:sz w:val="21"/>
                <w:szCs w:val="21"/>
              </w:rPr>
            </w:pPr>
            <w:r>
              <w:rPr>
                <w:rFonts w:hint="eastAsia" w:ascii="仿宋_GB2312" w:eastAsia="仿宋_GB2312"/>
                <w:sz w:val="21"/>
                <w:szCs w:val="21"/>
              </w:rPr>
              <w:t>加分分值</w:t>
            </w:r>
          </w:p>
        </w:tc>
      </w:tr>
      <w:tr w14:paraId="661E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restart"/>
            <w:vAlign w:val="center"/>
          </w:tcPr>
          <w:p w14:paraId="1A63D598">
            <w:pPr>
              <w:pStyle w:val="15"/>
              <w:jc w:val="center"/>
              <w:rPr>
                <w:rFonts w:hint="eastAsia" w:ascii="仿宋_GB2312" w:eastAsia="仿宋_GB2312"/>
                <w:sz w:val="21"/>
                <w:szCs w:val="21"/>
              </w:rPr>
            </w:pPr>
            <w:r>
              <w:rPr>
                <w:rFonts w:hint="eastAsia" w:ascii="仿宋_GB2312" w:eastAsia="仿宋_GB2312"/>
                <w:sz w:val="21"/>
                <w:szCs w:val="21"/>
              </w:rPr>
              <w:t>学科竞赛类</w:t>
            </w:r>
          </w:p>
        </w:tc>
        <w:tc>
          <w:tcPr>
            <w:tcW w:w="3634" w:type="pct"/>
            <w:vAlign w:val="center"/>
          </w:tcPr>
          <w:p w14:paraId="0305EBF5">
            <w:pPr>
              <w:pStyle w:val="15"/>
              <w:rPr>
                <w:rFonts w:hint="eastAsia" w:ascii="仿宋_GB2312" w:eastAsia="仿宋_GB2312"/>
                <w:sz w:val="21"/>
                <w:szCs w:val="21"/>
                <w:lang w:eastAsia="zh-CN"/>
              </w:rPr>
            </w:pPr>
            <w:r>
              <w:rPr>
                <w:rFonts w:hint="eastAsia" w:ascii="仿宋_GB2312" w:eastAsia="仿宋_GB2312"/>
                <w:sz w:val="21"/>
                <w:szCs w:val="21"/>
                <w:lang w:eastAsia="zh-CN"/>
              </w:rPr>
              <w:t>获得全国大学生电子设计竞赛一等奖团队的学生第一负责人。</w:t>
            </w:r>
          </w:p>
        </w:tc>
        <w:tc>
          <w:tcPr>
            <w:tcW w:w="564" w:type="pct"/>
            <w:vAlign w:val="center"/>
          </w:tcPr>
          <w:p w14:paraId="1539D146">
            <w:pPr>
              <w:pStyle w:val="15"/>
              <w:jc w:val="center"/>
              <w:rPr>
                <w:rFonts w:hint="eastAsia" w:ascii="仿宋_GB2312" w:eastAsia="仿宋_GB2312"/>
                <w:sz w:val="21"/>
                <w:szCs w:val="21"/>
              </w:rPr>
            </w:pPr>
            <w:r>
              <w:rPr>
                <w:rFonts w:hint="eastAsia" w:ascii="仿宋_GB2312" w:eastAsia="仿宋_GB2312"/>
                <w:sz w:val="21"/>
                <w:szCs w:val="21"/>
              </w:rPr>
              <w:t>50</w:t>
            </w:r>
          </w:p>
        </w:tc>
      </w:tr>
      <w:tr w14:paraId="7E7B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continue"/>
            <w:vAlign w:val="center"/>
          </w:tcPr>
          <w:p w14:paraId="3053A915">
            <w:pPr>
              <w:jc w:val="center"/>
              <w:rPr>
                <w:rFonts w:hint="eastAsia" w:ascii="仿宋_GB2312" w:eastAsia="仿宋_GB2312"/>
                <w:szCs w:val="21"/>
              </w:rPr>
            </w:pPr>
          </w:p>
        </w:tc>
        <w:tc>
          <w:tcPr>
            <w:tcW w:w="3634" w:type="pct"/>
            <w:vAlign w:val="center"/>
          </w:tcPr>
          <w:p w14:paraId="148A5064">
            <w:pPr>
              <w:pStyle w:val="15"/>
              <w:rPr>
                <w:rFonts w:hint="eastAsia" w:ascii="仿宋_GB2312" w:eastAsia="仿宋_GB2312"/>
                <w:sz w:val="21"/>
                <w:szCs w:val="21"/>
                <w:lang w:eastAsia="zh-CN"/>
              </w:rPr>
            </w:pPr>
            <w:r>
              <w:rPr>
                <w:rFonts w:hint="eastAsia" w:ascii="仿宋_GB2312" w:eastAsia="仿宋_GB2312"/>
                <w:sz w:val="21"/>
                <w:szCs w:val="21"/>
                <w:lang w:eastAsia="zh-CN"/>
              </w:rPr>
              <w:t>进入全国大学生数学竞赛决赛的学生；获得全国大学生数学建模竞赛一等奖的学生。</w:t>
            </w:r>
          </w:p>
        </w:tc>
        <w:tc>
          <w:tcPr>
            <w:tcW w:w="564" w:type="pct"/>
            <w:vAlign w:val="center"/>
          </w:tcPr>
          <w:p w14:paraId="193AC3ED">
            <w:pPr>
              <w:pStyle w:val="15"/>
              <w:jc w:val="center"/>
              <w:rPr>
                <w:rFonts w:hint="eastAsia" w:ascii="仿宋_GB2312" w:eastAsia="仿宋_GB2312"/>
                <w:sz w:val="21"/>
                <w:szCs w:val="21"/>
              </w:rPr>
            </w:pPr>
            <w:r>
              <w:rPr>
                <w:rFonts w:hint="eastAsia" w:ascii="仿宋_GB2312" w:eastAsia="仿宋_GB2312"/>
                <w:sz w:val="21"/>
                <w:szCs w:val="21"/>
              </w:rPr>
              <w:t>50</w:t>
            </w:r>
          </w:p>
        </w:tc>
      </w:tr>
      <w:tr w14:paraId="1253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continue"/>
            <w:vAlign w:val="center"/>
          </w:tcPr>
          <w:p w14:paraId="5662FB9A">
            <w:pPr>
              <w:jc w:val="center"/>
              <w:rPr>
                <w:rFonts w:hint="eastAsia" w:ascii="仿宋_GB2312" w:eastAsia="仿宋_GB2312"/>
                <w:szCs w:val="21"/>
              </w:rPr>
            </w:pPr>
          </w:p>
        </w:tc>
        <w:tc>
          <w:tcPr>
            <w:tcW w:w="3634" w:type="pct"/>
            <w:vAlign w:val="center"/>
          </w:tcPr>
          <w:p w14:paraId="2E5B25C7">
            <w:pPr>
              <w:pStyle w:val="15"/>
              <w:rPr>
                <w:rFonts w:hint="eastAsia" w:ascii="仿宋_GB2312" w:eastAsia="仿宋_GB2312"/>
                <w:sz w:val="21"/>
                <w:szCs w:val="21"/>
                <w:lang w:eastAsia="zh-CN"/>
              </w:rPr>
            </w:pPr>
            <w:r>
              <w:rPr>
                <w:rFonts w:hint="eastAsia" w:ascii="仿宋_GB2312" w:eastAsia="仿宋_GB2312"/>
                <w:sz w:val="21"/>
                <w:szCs w:val="21"/>
                <w:lang w:eastAsia="zh-CN"/>
              </w:rPr>
              <w:t>“外研社杯”全国大学生英语辩论赛冠亚军获得者；“CCTV杯”</w:t>
            </w:r>
          </w:p>
          <w:p w14:paraId="79C50D2B">
            <w:pPr>
              <w:pStyle w:val="15"/>
              <w:rPr>
                <w:rFonts w:hint="eastAsia" w:ascii="仿宋_GB2312" w:eastAsia="仿宋_GB2312"/>
                <w:sz w:val="21"/>
                <w:szCs w:val="21"/>
                <w:lang w:eastAsia="zh-CN"/>
              </w:rPr>
            </w:pPr>
            <w:r>
              <w:rPr>
                <w:rFonts w:hint="eastAsia" w:ascii="仿宋_GB2312" w:eastAsia="仿宋_GB2312"/>
                <w:sz w:val="21"/>
                <w:szCs w:val="21"/>
                <w:lang w:eastAsia="zh-CN"/>
              </w:rPr>
              <w:t>全国英语演讲比赛冠亚军获得者；获得“CCTV”国际大专辩论赛冠亚军团队学生或最佳辩手。</w:t>
            </w:r>
          </w:p>
        </w:tc>
        <w:tc>
          <w:tcPr>
            <w:tcW w:w="564" w:type="pct"/>
            <w:vAlign w:val="center"/>
          </w:tcPr>
          <w:p w14:paraId="1DE26BEF">
            <w:pPr>
              <w:pStyle w:val="15"/>
              <w:jc w:val="center"/>
              <w:rPr>
                <w:rFonts w:hint="eastAsia" w:ascii="仿宋_GB2312" w:eastAsia="仿宋_GB2312"/>
                <w:sz w:val="21"/>
                <w:szCs w:val="21"/>
              </w:rPr>
            </w:pPr>
            <w:r>
              <w:rPr>
                <w:rFonts w:hint="eastAsia" w:ascii="仿宋_GB2312" w:eastAsia="仿宋_GB2312"/>
                <w:sz w:val="21"/>
                <w:szCs w:val="21"/>
              </w:rPr>
              <w:t>50</w:t>
            </w:r>
          </w:p>
        </w:tc>
      </w:tr>
      <w:tr w14:paraId="4832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restart"/>
            <w:vAlign w:val="center"/>
          </w:tcPr>
          <w:p w14:paraId="0F8F8A9E">
            <w:pPr>
              <w:pStyle w:val="15"/>
              <w:jc w:val="center"/>
              <w:rPr>
                <w:rFonts w:hint="eastAsia" w:ascii="仿宋_GB2312" w:eastAsia="仿宋_GB2312"/>
                <w:sz w:val="21"/>
                <w:szCs w:val="21"/>
              </w:rPr>
            </w:pPr>
            <w:r>
              <w:rPr>
                <w:rFonts w:hint="eastAsia" w:ascii="仿宋_GB2312" w:eastAsia="仿宋_GB2312"/>
                <w:sz w:val="21"/>
                <w:szCs w:val="21"/>
              </w:rPr>
              <w:t>服兵役类</w:t>
            </w:r>
          </w:p>
        </w:tc>
        <w:tc>
          <w:tcPr>
            <w:tcW w:w="3634" w:type="pct"/>
            <w:vAlign w:val="center"/>
          </w:tcPr>
          <w:p w14:paraId="10C5770A">
            <w:pPr>
              <w:pStyle w:val="15"/>
              <w:rPr>
                <w:rFonts w:hint="eastAsia" w:ascii="仿宋_GB2312" w:eastAsia="仿宋_GB2312"/>
                <w:sz w:val="21"/>
                <w:szCs w:val="21"/>
                <w:lang w:eastAsia="zh-CN"/>
              </w:rPr>
            </w:pPr>
            <w:r>
              <w:rPr>
                <w:rFonts w:hint="eastAsia" w:ascii="仿宋_GB2312" w:eastAsia="仿宋_GB2312"/>
                <w:sz w:val="21"/>
                <w:szCs w:val="21"/>
                <w:lang w:eastAsia="zh-CN"/>
              </w:rPr>
              <w:t>在校期间完成服兵役，在部队荣立三等功及以上。</w:t>
            </w:r>
          </w:p>
        </w:tc>
        <w:tc>
          <w:tcPr>
            <w:tcW w:w="564" w:type="pct"/>
            <w:vAlign w:val="center"/>
          </w:tcPr>
          <w:p w14:paraId="0274717C">
            <w:pPr>
              <w:pStyle w:val="15"/>
              <w:jc w:val="center"/>
              <w:rPr>
                <w:rFonts w:hint="eastAsia" w:ascii="仿宋_GB2312" w:eastAsia="仿宋_GB2312"/>
                <w:sz w:val="21"/>
                <w:szCs w:val="21"/>
              </w:rPr>
            </w:pPr>
            <w:r>
              <w:rPr>
                <w:rFonts w:hint="eastAsia" w:ascii="仿宋_GB2312" w:eastAsia="仿宋_GB2312"/>
                <w:sz w:val="21"/>
                <w:szCs w:val="21"/>
              </w:rPr>
              <w:t>100</w:t>
            </w:r>
          </w:p>
        </w:tc>
      </w:tr>
      <w:tr w14:paraId="0F75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continue"/>
            <w:vAlign w:val="center"/>
          </w:tcPr>
          <w:p w14:paraId="4DCE49F1">
            <w:pPr>
              <w:jc w:val="center"/>
              <w:rPr>
                <w:rFonts w:hint="eastAsia" w:ascii="仿宋_GB2312" w:eastAsia="仿宋_GB2312"/>
                <w:szCs w:val="21"/>
              </w:rPr>
            </w:pPr>
          </w:p>
        </w:tc>
        <w:tc>
          <w:tcPr>
            <w:tcW w:w="3634" w:type="pct"/>
            <w:vAlign w:val="center"/>
          </w:tcPr>
          <w:p w14:paraId="7DF77245">
            <w:pPr>
              <w:pStyle w:val="15"/>
              <w:rPr>
                <w:rFonts w:hint="eastAsia" w:ascii="仿宋_GB2312" w:eastAsia="仿宋_GB2312"/>
                <w:sz w:val="21"/>
                <w:szCs w:val="21"/>
                <w:lang w:eastAsia="zh-CN"/>
              </w:rPr>
            </w:pPr>
            <w:r>
              <w:rPr>
                <w:rFonts w:hint="eastAsia" w:ascii="仿宋_GB2312" w:eastAsia="仿宋_GB2312"/>
                <w:sz w:val="21"/>
                <w:szCs w:val="21"/>
                <w:lang w:eastAsia="zh-CN"/>
              </w:rPr>
              <w:t>在校期间完成服兵役，在部队获得通令嘉奖或优秀士兵称号。</w:t>
            </w:r>
          </w:p>
        </w:tc>
        <w:tc>
          <w:tcPr>
            <w:tcW w:w="564" w:type="pct"/>
            <w:vAlign w:val="center"/>
          </w:tcPr>
          <w:p w14:paraId="18E7CB76">
            <w:pPr>
              <w:pStyle w:val="15"/>
              <w:jc w:val="center"/>
              <w:rPr>
                <w:rFonts w:hint="eastAsia" w:ascii="仿宋_GB2312" w:eastAsia="仿宋_GB2312"/>
                <w:sz w:val="21"/>
                <w:szCs w:val="21"/>
              </w:rPr>
            </w:pPr>
            <w:r>
              <w:rPr>
                <w:rFonts w:hint="eastAsia" w:ascii="仿宋_GB2312" w:eastAsia="仿宋_GB2312"/>
                <w:sz w:val="21"/>
                <w:szCs w:val="21"/>
              </w:rPr>
              <w:t>70</w:t>
            </w:r>
          </w:p>
        </w:tc>
      </w:tr>
      <w:tr w14:paraId="7CB2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continue"/>
            <w:vAlign w:val="center"/>
          </w:tcPr>
          <w:p w14:paraId="1E615E0E">
            <w:pPr>
              <w:jc w:val="center"/>
              <w:rPr>
                <w:rFonts w:hint="eastAsia" w:ascii="仿宋_GB2312" w:eastAsia="仿宋_GB2312"/>
                <w:szCs w:val="21"/>
              </w:rPr>
            </w:pPr>
          </w:p>
        </w:tc>
        <w:tc>
          <w:tcPr>
            <w:tcW w:w="3634" w:type="pct"/>
            <w:vAlign w:val="center"/>
          </w:tcPr>
          <w:p w14:paraId="1861EF6B">
            <w:pPr>
              <w:pStyle w:val="15"/>
              <w:rPr>
                <w:rFonts w:hint="eastAsia" w:ascii="仿宋_GB2312" w:eastAsia="仿宋_GB2312"/>
                <w:sz w:val="21"/>
                <w:szCs w:val="21"/>
                <w:lang w:eastAsia="zh-CN"/>
              </w:rPr>
            </w:pPr>
            <w:r>
              <w:rPr>
                <w:rFonts w:hint="eastAsia" w:ascii="仿宋_GB2312" w:eastAsia="仿宋_GB2312"/>
                <w:sz w:val="21"/>
                <w:szCs w:val="21"/>
                <w:lang w:eastAsia="zh-CN"/>
              </w:rPr>
              <w:t>在校期间完成服兵役。</w:t>
            </w:r>
          </w:p>
        </w:tc>
        <w:tc>
          <w:tcPr>
            <w:tcW w:w="564" w:type="pct"/>
            <w:vAlign w:val="center"/>
          </w:tcPr>
          <w:p w14:paraId="002A956C">
            <w:pPr>
              <w:pStyle w:val="15"/>
              <w:jc w:val="center"/>
              <w:rPr>
                <w:rFonts w:hint="eastAsia" w:ascii="仿宋_GB2312" w:eastAsia="仿宋_GB2312"/>
                <w:sz w:val="21"/>
                <w:szCs w:val="21"/>
              </w:rPr>
            </w:pPr>
            <w:r>
              <w:rPr>
                <w:rFonts w:hint="eastAsia" w:ascii="仿宋_GB2312" w:eastAsia="仿宋_GB2312"/>
                <w:sz w:val="21"/>
                <w:szCs w:val="21"/>
              </w:rPr>
              <w:t>50</w:t>
            </w:r>
          </w:p>
        </w:tc>
      </w:tr>
      <w:tr w14:paraId="08FD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restart"/>
            <w:vAlign w:val="center"/>
          </w:tcPr>
          <w:p w14:paraId="6AB37CC6">
            <w:pPr>
              <w:pStyle w:val="15"/>
              <w:jc w:val="center"/>
              <w:rPr>
                <w:rFonts w:hint="eastAsia" w:ascii="仿宋_GB2312" w:eastAsia="仿宋_GB2312"/>
                <w:sz w:val="21"/>
                <w:szCs w:val="21"/>
              </w:rPr>
            </w:pPr>
            <w:r>
              <w:rPr>
                <w:rFonts w:hint="eastAsia" w:ascii="仿宋_GB2312" w:eastAsia="仿宋_GB2312"/>
                <w:sz w:val="21"/>
                <w:szCs w:val="21"/>
              </w:rPr>
              <w:t>创新创业类</w:t>
            </w:r>
          </w:p>
        </w:tc>
        <w:tc>
          <w:tcPr>
            <w:tcW w:w="3634" w:type="pct"/>
            <w:vAlign w:val="center"/>
          </w:tcPr>
          <w:p w14:paraId="02C69538">
            <w:pPr>
              <w:pStyle w:val="15"/>
              <w:rPr>
                <w:rFonts w:hint="eastAsia" w:ascii="仿宋_GB2312" w:eastAsia="仿宋_GB2312"/>
                <w:sz w:val="21"/>
                <w:szCs w:val="21"/>
                <w:lang w:eastAsia="zh-CN"/>
              </w:rPr>
            </w:pPr>
            <w:r>
              <w:rPr>
                <w:rFonts w:hint="eastAsia" w:ascii="仿宋_GB2312" w:eastAsia="仿宋_GB2312"/>
                <w:sz w:val="21"/>
                <w:szCs w:val="21"/>
                <w:lang w:eastAsia="zh-CN"/>
              </w:rPr>
              <w:t>在“挑战杯”全国大学生课外学术科技作品竞赛（不含专项赛）获得全国金奖的团队前3名负责人、银奖的团队前2名负责人。</w:t>
            </w:r>
          </w:p>
        </w:tc>
        <w:tc>
          <w:tcPr>
            <w:tcW w:w="564" w:type="pct"/>
            <w:vAlign w:val="center"/>
          </w:tcPr>
          <w:p w14:paraId="17573E4B">
            <w:pPr>
              <w:pStyle w:val="15"/>
              <w:jc w:val="center"/>
              <w:rPr>
                <w:rFonts w:hint="eastAsia" w:ascii="仿宋_GB2312" w:eastAsia="仿宋_GB2312"/>
                <w:sz w:val="21"/>
                <w:szCs w:val="21"/>
              </w:rPr>
            </w:pPr>
            <w:r>
              <w:rPr>
                <w:rFonts w:hint="eastAsia" w:ascii="仿宋_GB2312" w:eastAsia="仿宋_GB2312"/>
                <w:sz w:val="21"/>
                <w:szCs w:val="21"/>
              </w:rPr>
              <w:t>50</w:t>
            </w:r>
          </w:p>
        </w:tc>
      </w:tr>
      <w:tr w14:paraId="113F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continue"/>
            <w:vAlign w:val="center"/>
          </w:tcPr>
          <w:p w14:paraId="7F057CC6">
            <w:pPr>
              <w:jc w:val="center"/>
              <w:rPr>
                <w:rFonts w:hint="eastAsia" w:ascii="仿宋_GB2312" w:eastAsia="仿宋_GB2312"/>
                <w:szCs w:val="21"/>
              </w:rPr>
            </w:pPr>
          </w:p>
        </w:tc>
        <w:tc>
          <w:tcPr>
            <w:tcW w:w="3634" w:type="pct"/>
            <w:vAlign w:val="center"/>
          </w:tcPr>
          <w:p w14:paraId="1090BECE">
            <w:pPr>
              <w:pStyle w:val="15"/>
              <w:rPr>
                <w:rFonts w:hint="eastAsia" w:ascii="仿宋_GB2312" w:eastAsia="仿宋_GB2312"/>
                <w:sz w:val="21"/>
                <w:szCs w:val="21"/>
                <w:lang w:eastAsia="zh-CN"/>
              </w:rPr>
            </w:pPr>
            <w:r>
              <w:rPr>
                <w:rFonts w:hint="eastAsia" w:ascii="仿宋_GB2312" w:eastAsia="仿宋_GB2312"/>
                <w:sz w:val="21"/>
                <w:szCs w:val="21"/>
                <w:lang w:eastAsia="zh-CN"/>
              </w:rPr>
              <w:t>在“挑战杯”中国大学生创业计划竞赛（不含专项赛）获得全国金奖的团队前3名负责人、银奖的团队前2名负责人。</w:t>
            </w:r>
          </w:p>
        </w:tc>
        <w:tc>
          <w:tcPr>
            <w:tcW w:w="564" w:type="pct"/>
            <w:vAlign w:val="center"/>
          </w:tcPr>
          <w:p w14:paraId="1BF49684">
            <w:pPr>
              <w:pStyle w:val="15"/>
              <w:jc w:val="center"/>
              <w:rPr>
                <w:rFonts w:hint="eastAsia" w:ascii="仿宋_GB2312" w:eastAsia="仿宋_GB2312"/>
                <w:sz w:val="21"/>
                <w:szCs w:val="21"/>
              </w:rPr>
            </w:pPr>
            <w:r>
              <w:rPr>
                <w:rFonts w:hint="eastAsia" w:ascii="仿宋_GB2312" w:eastAsia="仿宋_GB2312"/>
                <w:sz w:val="21"/>
                <w:szCs w:val="21"/>
              </w:rPr>
              <w:t>50</w:t>
            </w:r>
          </w:p>
        </w:tc>
      </w:tr>
      <w:tr w14:paraId="6B7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continue"/>
            <w:vAlign w:val="center"/>
          </w:tcPr>
          <w:p w14:paraId="3A694650">
            <w:pPr>
              <w:jc w:val="center"/>
              <w:rPr>
                <w:rFonts w:hint="eastAsia" w:ascii="仿宋_GB2312" w:eastAsia="仿宋_GB2312"/>
                <w:szCs w:val="21"/>
              </w:rPr>
            </w:pPr>
          </w:p>
        </w:tc>
        <w:tc>
          <w:tcPr>
            <w:tcW w:w="3634" w:type="pct"/>
            <w:vAlign w:val="center"/>
          </w:tcPr>
          <w:p w14:paraId="73BB304B">
            <w:pPr>
              <w:pStyle w:val="15"/>
              <w:rPr>
                <w:rFonts w:hint="eastAsia" w:ascii="仿宋_GB2312" w:eastAsia="仿宋_GB2312"/>
                <w:sz w:val="21"/>
                <w:szCs w:val="21"/>
                <w:lang w:eastAsia="zh-CN"/>
              </w:rPr>
            </w:pPr>
            <w:r>
              <w:rPr>
                <w:rFonts w:hint="eastAsia" w:ascii="仿宋_GB2312" w:eastAsia="仿宋_GB2312"/>
                <w:sz w:val="21"/>
                <w:szCs w:val="21"/>
                <w:lang w:eastAsia="zh-CN"/>
              </w:rPr>
              <w:t>在中国国际大学生创新大赛全国赛中获得金奖的团队前5名负责人、银奖的团队前4名负责人、铜奖的团队前3名负责人。</w:t>
            </w:r>
          </w:p>
        </w:tc>
        <w:tc>
          <w:tcPr>
            <w:tcW w:w="564" w:type="pct"/>
            <w:vAlign w:val="center"/>
          </w:tcPr>
          <w:p w14:paraId="6F38A727">
            <w:pPr>
              <w:pStyle w:val="15"/>
              <w:jc w:val="center"/>
              <w:rPr>
                <w:rFonts w:hint="eastAsia" w:ascii="仿宋_GB2312" w:eastAsia="仿宋_GB2312"/>
                <w:sz w:val="21"/>
                <w:szCs w:val="21"/>
              </w:rPr>
            </w:pPr>
            <w:r>
              <w:rPr>
                <w:rFonts w:hint="eastAsia" w:ascii="仿宋_GB2312" w:eastAsia="仿宋_GB2312"/>
                <w:sz w:val="21"/>
                <w:szCs w:val="21"/>
              </w:rPr>
              <w:t>50</w:t>
            </w:r>
          </w:p>
        </w:tc>
      </w:tr>
      <w:tr w14:paraId="3261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restart"/>
            <w:vAlign w:val="center"/>
          </w:tcPr>
          <w:p w14:paraId="7CD26FA6">
            <w:pPr>
              <w:pStyle w:val="15"/>
              <w:jc w:val="center"/>
              <w:rPr>
                <w:rFonts w:hint="eastAsia" w:ascii="仿宋_GB2312" w:eastAsia="仿宋_GB2312"/>
                <w:sz w:val="21"/>
                <w:szCs w:val="21"/>
              </w:rPr>
            </w:pPr>
            <w:r>
              <w:rPr>
                <w:rFonts w:hint="eastAsia" w:ascii="仿宋_GB2312" w:eastAsia="仿宋_GB2312"/>
                <w:sz w:val="21"/>
                <w:szCs w:val="21"/>
              </w:rPr>
              <w:t>体育类</w:t>
            </w:r>
          </w:p>
        </w:tc>
        <w:tc>
          <w:tcPr>
            <w:tcW w:w="3634" w:type="pct"/>
            <w:vAlign w:val="center"/>
          </w:tcPr>
          <w:p w14:paraId="420779BD">
            <w:pPr>
              <w:pStyle w:val="15"/>
              <w:rPr>
                <w:rFonts w:hint="eastAsia" w:ascii="仿宋_GB2312" w:eastAsia="仿宋_GB2312"/>
                <w:sz w:val="21"/>
                <w:szCs w:val="21"/>
                <w:lang w:eastAsia="zh-CN"/>
              </w:rPr>
            </w:pPr>
            <w:r>
              <w:rPr>
                <w:rFonts w:hint="eastAsia" w:ascii="仿宋_GB2312" w:eastAsia="仿宋_GB2312"/>
                <w:sz w:val="21"/>
                <w:szCs w:val="21"/>
                <w:lang w:eastAsia="zh-CN"/>
              </w:rPr>
              <w:t>在由教育部，体育总局及全国大学生体协举办的全国性比赛中，获得单项成绩前三名或集体项目成绩前六名的主力队员(篮球:比赛中平均上场时间最多的8名运动员;足球:比赛中平均上场时间最多的13名运动员)。</w:t>
            </w:r>
          </w:p>
        </w:tc>
        <w:tc>
          <w:tcPr>
            <w:tcW w:w="564" w:type="pct"/>
            <w:vAlign w:val="center"/>
          </w:tcPr>
          <w:p w14:paraId="0700524A">
            <w:pPr>
              <w:pStyle w:val="15"/>
              <w:jc w:val="center"/>
              <w:rPr>
                <w:rFonts w:hint="eastAsia" w:ascii="仿宋_GB2312" w:eastAsia="仿宋_GB2312"/>
                <w:sz w:val="21"/>
                <w:szCs w:val="21"/>
              </w:rPr>
            </w:pPr>
            <w:r>
              <w:rPr>
                <w:rFonts w:hint="eastAsia" w:ascii="仿宋_GB2312" w:eastAsia="仿宋_GB2312"/>
                <w:sz w:val="21"/>
                <w:szCs w:val="21"/>
              </w:rPr>
              <w:t>50</w:t>
            </w:r>
          </w:p>
        </w:tc>
      </w:tr>
      <w:tr w14:paraId="6E3E002A">
        <w:tblPrEx>
          <w:tblCellMar>
            <w:top w:w="0" w:type="dxa"/>
            <w:left w:w="0" w:type="dxa"/>
            <w:bottom w:w="0" w:type="dxa"/>
            <w:right w:w="0" w:type="dxa"/>
          </w:tblCellMar>
        </w:tblPrEx>
        <w:trPr>
          <w:trHeight w:val="312" w:hRule="atLeast"/>
          <w:jc w:val="center"/>
        </w:trPr>
        <w:tc>
          <w:tcPr>
            <w:tcW w:w="802" w:type="pct"/>
            <w:vMerge w:val="continue"/>
            <w:vAlign w:val="center"/>
          </w:tcPr>
          <w:p w14:paraId="71545621">
            <w:pPr>
              <w:jc w:val="center"/>
              <w:rPr>
                <w:rFonts w:hint="eastAsia" w:ascii="仿宋_GB2312" w:eastAsia="仿宋_GB2312"/>
                <w:szCs w:val="21"/>
              </w:rPr>
            </w:pPr>
          </w:p>
        </w:tc>
        <w:tc>
          <w:tcPr>
            <w:tcW w:w="3634" w:type="pct"/>
            <w:vAlign w:val="center"/>
          </w:tcPr>
          <w:p w14:paraId="7F9463A6">
            <w:pPr>
              <w:pStyle w:val="15"/>
              <w:rPr>
                <w:rFonts w:hint="eastAsia" w:ascii="仿宋_GB2312" w:eastAsia="仿宋_GB2312"/>
                <w:sz w:val="21"/>
                <w:szCs w:val="21"/>
                <w:lang w:eastAsia="zh-CN"/>
              </w:rPr>
            </w:pPr>
            <w:r>
              <w:rPr>
                <w:rFonts w:hint="eastAsia" w:ascii="仿宋_GB2312" w:eastAsia="仿宋_GB2312"/>
                <w:sz w:val="21"/>
                <w:szCs w:val="21"/>
                <w:lang w:eastAsia="zh-CN"/>
              </w:rPr>
              <w:t>在由省教育厅，体育局及省大学生体协举办省级比赛中，获得单项成绩第一二名或集体项目成绩前三名的主力队员(篮球:比赛中平均上场时间最多的8名运动员;足球:比赛中平均上场时间最多的13名运动员)。</w:t>
            </w:r>
          </w:p>
        </w:tc>
        <w:tc>
          <w:tcPr>
            <w:tcW w:w="564" w:type="pct"/>
            <w:vAlign w:val="center"/>
          </w:tcPr>
          <w:p w14:paraId="53B55300">
            <w:pPr>
              <w:pStyle w:val="15"/>
              <w:jc w:val="center"/>
              <w:rPr>
                <w:rFonts w:hint="eastAsia" w:ascii="仿宋_GB2312" w:eastAsia="仿宋_GB2312"/>
                <w:sz w:val="21"/>
                <w:szCs w:val="21"/>
              </w:rPr>
            </w:pPr>
            <w:r>
              <w:rPr>
                <w:rFonts w:hint="eastAsia" w:ascii="仿宋_GB2312" w:eastAsia="仿宋_GB2312"/>
                <w:sz w:val="21"/>
                <w:szCs w:val="21"/>
              </w:rPr>
              <w:t>50</w:t>
            </w:r>
          </w:p>
        </w:tc>
      </w:tr>
      <w:tr w14:paraId="744856CB">
        <w:tblPrEx>
          <w:tblCellMar>
            <w:top w:w="0" w:type="dxa"/>
            <w:left w:w="0" w:type="dxa"/>
            <w:bottom w:w="0" w:type="dxa"/>
            <w:right w:w="0" w:type="dxa"/>
          </w:tblCellMar>
        </w:tblPrEx>
        <w:trPr>
          <w:trHeight w:val="312" w:hRule="atLeast"/>
          <w:jc w:val="center"/>
        </w:trPr>
        <w:tc>
          <w:tcPr>
            <w:tcW w:w="802" w:type="pct"/>
            <w:vAlign w:val="center"/>
          </w:tcPr>
          <w:p w14:paraId="5B992AF1">
            <w:pPr>
              <w:pStyle w:val="15"/>
              <w:jc w:val="center"/>
              <w:rPr>
                <w:rFonts w:hint="eastAsia" w:ascii="仿宋_GB2312" w:eastAsia="仿宋_GB2312"/>
                <w:sz w:val="21"/>
                <w:szCs w:val="21"/>
              </w:rPr>
            </w:pPr>
            <w:r>
              <w:rPr>
                <w:rFonts w:hint="eastAsia" w:ascii="仿宋_GB2312" w:eastAsia="仿宋_GB2312"/>
                <w:sz w:val="21"/>
                <w:szCs w:val="21"/>
              </w:rPr>
              <w:t>美育类</w:t>
            </w:r>
          </w:p>
        </w:tc>
        <w:tc>
          <w:tcPr>
            <w:tcW w:w="3634" w:type="pct"/>
            <w:vAlign w:val="center"/>
          </w:tcPr>
          <w:p w14:paraId="1E1137BE">
            <w:pPr>
              <w:pStyle w:val="15"/>
              <w:rPr>
                <w:rFonts w:hint="eastAsia" w:ascii="仿宋_GB2312" w:eastAsia="仿宋_GB2312"/>
                <w:sz w:val="21"/>
                <w:szCs w:val="21"/>
                <w:lang w:eastAsia="zh-CN"/>
              </w:rPr>
            </w:pPr>
            <w:r>
              <w:rPr>
                <w:rFonts w:hint="eastAsia" w:ascii="仿宋_GB2312" w:eastAsia="仿宋_GB2312"/>
                <w:sz w:val="21"/>
                <w:szCs w:val="21"/>
                <w:lang w:eastAsia="zh-CN"/>
              </w:rPr>
              <w:t>在全国大学生艺术展演和教育部、文化部举办的全国性艺术比赛中获得全国一等奖的团队第一负责人。</w:t>
            </w:r>
          </w:p>
        </w:tc>
        <w:tc>
          <w:tcPr>
            <w:tcW w:w="564" w:type="pct"/>
            <w:vAlign w:val="center"/>
          </w:tcPr>
          <w:p w14:paraId="159445D9">
            <w:pPr>
              <w:pStyle w:val="15"/>
              <w:jc w:val="center"/>
              <w:rPr>
                <w:rFonts w:hint="eastAsia" w:ascii="仿宋_GB2312" w:eastAsia="仿宋_GB2312"/>
                <w:sz w:val="21"/>
                <w:szCs w:val="21"/>
              </w:rPr>
            </w:pPr>
            <w:r>
              <w:rPr>
                <w:rFonts w:hint="eastAsia" w:ascii="仿宋_GB2312" w:eastAsia="仿宋_GB2312"/>
                <w:sz w:val="21"/>
                <w:szCs w:val="21"/>
              </w:rPr>
              <w:t>50</w:t>
            </w:r>
          </w:p>
        </w:tc>
      </w:tr>
      <w:tr w14:paraId="63DB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Align w:val="center"/>
          </w:tcPr>
          <w:p w14:paraId="16369618">
            <w:pPr>
              <w:pStyle w:val="15"/>
              <w:jc w:val="center"/>
              <w:rPr>
                <w:rFonts w:hint="eastAsia" w:ascii="仿宋_GB2312" w:eastAsia="仿宋_GB2312"/>
                <w:sz w:val="21"/>
                <w:szCs w:val="21"/>
              </w:rPr>
            </w:pPr>
            <w:r>
              <w:rPr>
                <w:rFonts w:hint="eastAsia" w:ascii="仿宋_GB2312" w:eastAsia="仿宋_GB2312"/>
                <w:sz w:val="21"/>
                <w:szCs w:val="21"/>
              </w:rPr>
              <w:t>劳动教育类</w:t>
            </w:r>
          </w:p>
        </w:tc>
        <w:tc>
          <w:tcPr>
            <w:tcW w:w="3634" w:type="pct"/>
            <w:vAlign w:val="center"/>
          </w:tcPr>
          <w:p w14:paraId="4728E35F">
            <w:pPr>
              <w:pStyle w:val="15"/>
              <w:rPr>
                <w:rFonts w:hint="eastAsia" w:ascii="仿宋_GB2312" w:eastAsia="仿宋_GB2312"/>
                <w:sz w:val="21"/>
                <w:szCs w:val="21"/>
                <w:lang w:eastAsia="zh-CN"/>
              </w:rPr>
            </w:pPr>
            <w:r>
              <w:rPr>
                <w:rFonts w:hint="eastAsia" w:ascii="仿宋_GB2312" w:eastAsia="仿宋_GB2312"/>
                <w:sz w:val="21"/>
                <w:szCs w:val="21"/>
                <w:lang w:eastAsia="zh-CN"/>
              </w:rPr>
              <w:t>获得劳动技能方面国家级奖励及竞赛一等奖的个人或团队第一负责人（奖励级别须经学校学生工作领导小组认定）。</w:t>
            </w:r>
          </w:p>
        </w:tc>
        <w:tc>
          <w:tcPr>
            <w:tcW w:w="564" w:type="pct"/>
            <w:vAlign w:val="center"/>
          </w:tcPr>
          <w:p w14:paraId="06A78663">
            <w:pPr>
              <w:pStyle w:val="15"/>
              <w:jc w:val="center"/>
              <w:rPr>
                <w:rFonts w:hint="eastAsia" w:ascii="仿宋_GB2312" w:eastAsia="仿宋_GB2312"/>
                <w:sz w:val="21"/>
                <w:szCs w:val="21"/>
              </w:rPr>
            </w:pPr>
            <w:r>
              <w:rPr>
                <w:rFonts w:hint="eastAsia" w:ascii="仿宋_GB2312" w:eastAsia="仿宋_GB2312"/>
                <w:sz w:val="21"/>
                <w:szCs w:val="21"/>
              </w:rPr>
              <w:t>50</w:t>
            </w:r>
          </w:p>
        </w:tc>
      </w:tr>
      <w:tr w14:paraId="174E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restart"/>
            <w:vAlign w:val="center"/>
          </w:tcPr>
          <w:p w14:paraId="6FE80A24">
            <w:pPr>
              <w:pStyle w:val="15"/>
              <w:jc w:val="center"/>
              <w:rPr>
                <w:rFonts w:hint="eastAsia" w:ascii="仿宋_GB2312" w:eastAsia="仿宋_GB2312"/>
                <w:sz w:val="21"/>
                <w:szCs w:val="21"/>
              </w:rPr>
            </w:pPr>
            <w:r>
              <w:rPr>
                <w:rFonts w:hint="eastAsia" w:ascii="仿宋_GB2312" w:eastAsia="仿宋_GB2312"/>
                <w:sz w:val="21"/>
                <w:szCs w:val="21"/>
              </w:rPr>
              <w:t>社会实践类</w:t>
            </w:r>
          </w:p>
        </w:tc>
        <w:tc>
          <w:tcPr>
            <w:tcW w:w="3634" w:type="pct"/>
            <w:vAlign w:val="center"/>
          </w:tcPr>
          <w:p w14:paraId="33D9F633">
            <w:pPr>
              <w:pStyle w:val="15"/>
              <w:rPr>
                <w:rFonts w:hint="eastAsia" w:ascii="仿宋_GB2312" w:eastAsia="仿宋_GB2312"/>
                <w:sz w:val="21"/>
                <w:szCs w:val="21"/>
                <w:lang w:eastAsia="zh-CN"/>
              </w:rPr>
            </w:pPr>
            <w:r>
              <w:rPr>
                <w:rFonts w:hint="eastAsia" w:ascii="仿宋_GB2312" w:eastAsia="仿宋_GB2312"/>
                <w:sz w:val="21"/>
                <w:szCs w:val="21"/>
                <w:lang w:eastAsia="zh-CN"/>
              </w:rPr>
              <w:t>获得“三下乡”社会实践全国先进个人称号或优秀团队第一负责人；</w:t>
            </w:r>
          </w:p>
          <w:p w14:paraId="4BC6C464">
            <w:pPr>
              <w:pStyle w:val="15"/>
              <w:rPr>
                <w:rFonts w:hint="eastAsia" w:ascii="仿宋_GB2312" w:eastAsia="仿宋_GB2312"/>
                <w:sz w:val="21"/>
                <w:szCs w:val="21"/>
                <w:lang w:eastAsia="zh-CN"/>
              </w:rPr>
            </w:pPr>
            <w:r>
              <w:rPr>
                <w:rFonts w:hint="eastAsia" w:ascii="仿宋_GB2312" w:eastAsia="仿宋_GB2312"/>
                <w:sz w:val="21"/>
                <w:szCs w:val="21"/>
                <w:lang w:eastAsia="zh-CN"/>
              </w:rPr>
              <w:t>获得“全国优秀青年志愿者”称号；获得“西部计划”省级及以上贡献奖者。</w:t>
            </w:r>
          </w:p>
        </w:tc>
        <w:tc>
          <w:tcPr>
            <w:tcW w:w="564" w:type="pct"/>
            <w:vAlign w:val="center"/>
          </w:tcPr>
          <w:p w14:paraId="0DC69BAB">
            <w:pPr>
              <w:pStyle w:val="15"/>
              <w:jc w:val="center"/>
              <w:rPr>
                <w:rFonts w:hint="eastAsia" w:ascii="仿宋_GB2312" w:eastAsia="仿宋_GB2312"/>
                <w:sz w:val="21"/>
                <w:szCs w:val="21"/>
              </w:rPr>
            </w:pPr>
            <w:r>
              <w:rPr>
                <w:rFonts w:hint="eastAsia" w:ascii="仿宋_GB2312" w:eastAsia="仿宋_GB2312"/>
                <w:sz w:val="21"/>
                <w:szCs w:val="21"/>
              </w:rPr>
              <w:t>50</w:t>
            </w:r>
          </w:p>
        </w:tc>
      </w:tr>
      <w:tr w14:paraId="6A99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02" w:type="pct"/>
            <w:vMerge w:val="continue"/>
            <w:vAlign w:val="center"/>
          </w:tcPr>
          <w:p w14:paraId="420AD35D">
            <w:pPr>
              <w:jc w:val="center"/>
              <w:rPr>
                <w:rFonts w:hint="eastAsia" w:ascii="仿宋_GB2312" w:eastAsia="仿宋_GB2312"/>
                <w:szCs w:val="21"/>
              </w:rPr>
            </w:pPr>
          </w:p>
        </w:tc>
        <w:tc>
          <w:tcPr>
            <w:tcW w:w="3634" w:type="pct"/>
            <w:vAlign w:val="center"/>
          </w:tcPr>
          <w:p w14:paraId="345B5DF8">
            <w:pPr>
              <w:pStyle w:val="15"/>
              <w:rPr>
                <w:rFonts w:hint="eastAsia" w:ascii="仿宋_GB2312" w:eastAsia="仿宋_GB2312"/>
                <w:sz w:val="21"/>
                <w:szCs w:val="21"/>
                <w:lang w:eastAsia="zh-CN"/>
              </w:rPr>
            </w:pPr>
            <w:r>
              <w:rPr>
                <w:rFonts w:hint="eastAsia" w:ascii="仿宋_GB2312" w:eastAsia="仿宋_GB2312"/>
                <w:sz w:val="21"/>
                <w:szCs w:val="21"/>
                <w:lang w:eastAsia="zh-CN"/>
              </w:rPr>
              <w:t>参加国际组织实习：截止当年学校推免生工作通知确定的时间前，取得我国人力资源和社会保障部所列的国际组织的实习录用通知书或工作录用通知书，并实质性参加实习3个月及以上的，加50分。原则上实习应通过公开渠道招募，且应为实地实习。</w:t>
            </w:r>
          </w:p>
        </w:tc>
        <w:tc>
          <w:tcPr>
            <w:tcW w:w="564" w:type="pct"/>
            <w:vAlign w:val="center"/>
          </w:tcPr>
          <w:p w14:paraId="58A91BB9">
            <w:pPr>
              <w:pStyle w:val="15"/>
              <w:jc w:val="center"/>
              <w:rPr>
                <w:rFonts w:hint="eastAsia" w:ascii="仿宋_GB2312" w:eastAsia="仿宋_GB2312"/>
                <w:sz w:val="21"/>
                <w:szCs w:val="21"/>
              </w:rPr>
            </w:pPr>
            <w:r>
              <w:rPr>
                <w:rFonts w:hint="eastAsia" w:ascii="仿宋_GB2312" w:eastAsia="仿宋_GB2312"/>
                <w:sz w:val="21"/>
                <w:szCs w:val="21"/>
              </w:rPr>
              <w:t>50</w:t>
            </w:r>
          </w:p>
        </w:tc>
      </w:tr>
      <w:tr w14:paraId="57D8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02" w:type="pct"/>
            <w:vMerge w:val="continue"/>
            <w:vAlign w:val="center"/>
          </w:tcPr>
          <w:p w14:paraId="1ADA2672">
            <w:pPr>
              <w:jc w:val="center"/>
              <w:rPr>
                <w:rFonts w:hint="eastAsia" w:ascii="仿宋_GB2312" w:eastAsia="仿宋_GB2312"/>
                <w:szCs w:val="21"/>
              </w:rPr>
            </w:pPr>
          </w:p>
        </w:tc>
        <w:tc>
          <w:tcPr>
            <w:tcW w:w="3634" w:type="pct"/>
            <w:vAlign w:val="center"/>
          </w:tcPr>
          <w:p w14:paraId="3E01A56D">
            <w:pPr>
              <w:pStyle w:val="15"/>
              <w:rPr>
                <w:rFonts w:hint="eastAsia" w:ascii="仿宋_GB2312" w:eastAsia="仿宋_GB2312"/>
                <w:sz w:val="21"/>
                <w:szCs w:val="21"/>
                <w:lang w:eastAsia="zh-CN"/>
              </w:rPr>
            </w:pPr>
            <w:r>
              <w:rPr>
                <w:rFonts w:hint="eastAsia" w:ascii="仿宋_GB2312" w:eastAsia="仿宋_GB2312"/>
                <w:sz w:val="21"/>
                <w:szCs w:val="21"/>
                <w:lang w:eastAsia="zh-CN"/>
              </w:rPr>
              <w:t>参加国际组织会议：受邀实地参加我国人力资源和社会保障部所列的国际组织主办或承办的国际性主会议或分会议并在会议中进行主题发言或做报告1次及以上，加50分。</w:t>
            </w:r>
          </w:p>
        </w:tc>
        <w:tc>
          <w:tcPr>
            <w:tcW w:w="564" w:type="pct"/>
            <w:vAlign w:val="center"/>
          </w:tcPr>
          <w:p w14:paraId="4AF298AE">
            <w:pPr>
              <w:pStyle w:val="15"/>
              <w:jc w:val="center"/>
              <w:rPr>
                <w:rFonts w:hint="eastAsia" w:ascii="仿宋_GB2312" w:eastAsia="仿宋_GB2312"/>
                <w:sz w:val="21"/>
                <w:szCs w:val="21"/>
              </w:rPr>
            </w:pPr>
            <w:r>
              <w:rPr>
                <w:rFonts w:hint="eastAsia" w:ascii="仿宋_GB2312" w:eastAsia="仿宋_GB2312"/>
                <w:sz w:val="21"/>
                <w:szCs w:val="21"/>
              </w:rPr>
              <w:t>50</w:t>
            </w:r>
          </w:p>
        </w:tc>
      </w:tr>
      <w:tr w14:paraId="4C05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02" w:type="pct"/>
            <w:vMerge w:val="restart"/>
            <w:vAlign w:val="center"/>
          </w:tcPr>
          <w:p w14:paraId="401AC9EF">
            <w:pPr>
              <w:pStyle w:val="15"/>
              <w:jc w:val="center"/>
              <w:rPr>
                <w:rFonts w:hint="eastAsia" w:ascii="仿宋_GB2312" w:eastAsia="仿宋_GB2312"/>
                <w:sz w:val="21"/>
                <w:szCs w:val="21"/>
              </w:rPr>
            </w:pPr>
            <w:r>
              <w:rPr>
                <w:rFonts w:hint="eastAsia" w:ascii="仿宋_GB2312" w:eastAsia="仿宋_GB2312"/>
                <w:sz w:val="21"/>
                <w:szCs w:val="21"/>
              </w:rPr>
              <w:t>荣誉类</w:t>
            </w:r>
          </w:p>
        </w:tc>
        <w:tc>
          <w:tcPr>
            <w:tcW w:w="3634" w:type="pct"/>
            <w:vAlign w:val="center"/>
          </w:tcPr>
          <w:p w14:paraId="5EC1A279">
            <w:pPr>
              <w:pStyle w:val="15"/>
              <w:rPr>
                <w:rFonts w:hint="eastAsia" w:ascii="仿宋_GB2312" w:eastAsia="仿宋_GB2312"/>
                <w:sz w:val="21"/>
                <w:szCs w:val="21"/>
                <w:lang w:eastAsia="zh-CN"/>
              </w:rPr>
            </w:pPr>
            <w:r>
              <w:rPr>
                <w:rFonts w:hint="eastAsia" w:ascii="仿宋_GB2312" w:eastAsia="仿宋_GB2312"/>
                <w:sz w:val="21"/>
                <w:szCs w:val="21"/>
                <w:lang w:eastAsia="zh-CN"/>
              </w:rPr>
              <w:t>获得全国三好学生、全国优秀学生干部、全国优秀共青团员、全国优秀团干部及其标兵称号者；获得省级“十佳青年学生”称号者。</w:t>
            </w:r>
          </w:p>
        </w:tc>
        <w:tc>
          <w:tcPr>
            <w:tcW w:w="564" w:type="pct"/>
            <w:vAlign w:val="center"/>
          </w:tcPr>
          <w:p w14:paraId="4582F531">
            <w:pPr>
              <w:pStyle w:val="15"/>
              <w:jc w:val="center"/>
              <w:rPr>
                <w:rFonts w:hint="eastAsia" w:ascii="仿宋_GB2312" w:eastAsia="仿宋_GB2312"/>
                <w:sz w:val="21"/>
                <w:szCs w:val="21"/>
              </w:rPr>
            </w:pPr>
            <w:r>
              <w:rPr>
                <w:rFonts w:hint="eastAsia" w:ascii="仿宋_GB2312" w:eastAsia="仿宋_GB2312"/>
                <w:sz w:val="21"/>
                <w:szCs w:val="21"/>
              </w:rPr>
              <w:t>50</w:t>
            </w:r>
          </w:p>
        </w:tc>
      </w:tr>
      <w:tr w14:paraId="6888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02" w:type="pct"/>
            <w:vMerge w:val="continue"/>
            <w:vAlign w:val="center"/>
          </w:tcPr>
          <w:p w14:paraId="7DD9563B">
            <w:pPr>
              <w:jc w:val="center"/>
              <w:rPr>
                <w:rFonts w:hint="eastAsia" w:ascii="仿宋_GB2312" w:eastAsia="仿宋_GB2312"/>
                <w:szCs w:val="21"/>
              </w:rPr>
            </w:pPr>
          </w:p>
        </w:tc>
        <w:tc>
          <w:tcPr>
            <w:tcW w:w="3634" w:type="pct"/>
            <w:vAlign w:val="center"/>
          </w:tcPr>
          <w:p w14:paraId="15CE0D8C">
            <w:pPr>
              <w:pStyle w:val="15"/>
              <w:rPr>
                <w:rFonts w:hint="eastAsia" w:ascii="仿宋_GB2312" w:eastAsia="仿宋_GB2312"/>
                <w:sz w:val="21"/>
                <w:szCs w:val="21"/>
                <w:lang w:eastAsia="zh-CN"/>
              </w:rPr>
            </w:pPr>
            <w:r>
              <w:rPr>
                <w:rFonts w:hint="eastAsia" w:ascii="仿宋_GB2312" w:eastAsia="仿宋_GB2312"/>
                <w:sz w:val="21"/>
                <w:szCs w:val="21"/>
                <w:lang w:eastAsia="zh-CN"/>
              </w:rPr>
              <w:t>获得团中央全国高校“优秀学生社团”、“全国高校百强学生社团”社团正团长。</w:t>
            </w:r>
          </w:p>
        </w:tc>
        <w:tc>
          <w:tcPr>
            <w:tcW w:w="564" w:type="pct"/>
            <w:vAlign w:val="center"/>
          </w:tcPr>
          <w:p w14:paraId="1CEA6DEE">
            <w:pPr>
              <w:pStyle w:val="15"/>
              <w:jc w:val="center"/>
              <w:rPr>
                <w:rFonts w:hint="eastAsia" w:ascii="仿宋_GB2312" w:eastAsia="仿宋_GB2312"/>
                <w:sz w:val="21"/>
                <w:szCs w:val="21"/>
              </w:rPr>
            </w:pPr>
            <w:r>
              <w:rPr>
                <w:rFonts w:hint="eastAsia" w:ascii="仿宋_GB2312" w:eastAsia="仿宋_GB2312"/>
                <w:sz w:val="21"/>
                <w:szCs w:val="21"/>
              </w:rPr>
              <w:t>50</w:t>
            </w:r>
          </w:p>
        </w:tc>
      </w:tr>
    </w:tbl>
    <w:p w14:paraId="5D9A021F">
      <w:pPr>
        <w:spacing w:line="560" w:lineRule="exact"/>
        <w:ind w:firstLine="562" w:firstLineChars="200"/>
        <w:rPr>
          <w:rFonts w:hint="eastAsia" w:ascii="黑体" w:hAnsi="黑体" w:eastAsia="黑体"/>
          <w:b/>
          <w:sz w:val="28"/>
          <w:szCs w:val="28"/>
        </w:rPr>
      </w:pPr>
      <w:r>
        <w:rPr>
          <w:rFonts w:hint="eastAsia" w:ascii="黑体" w:hAnsi="黑体" w:eastAsia="黑体"/>
          <w:b/>
          <w:sz w:val="28"/>
          <w:szCs w:val="28"/>
        </w:rPr>
        <w:t>四、其他说明</w:t>
      </w:r>
    </w:p>
    <w:p w14:paraId="3BDBC76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如学院认为确有必要且本办法未涉及的加分项目，由学院工作小组提交申请，学院推免工作领导小组办公室组织专家论证后报学校推免工作领导小组审批。</w:t>
      </w:r>
    </w:p>
    <w:sectPr>
      <w:pgSz w:w="11906" w:h="16839"/>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21822985"/>
      <w:docPartObj>
        <w:docPartGallery w:val="autotext"/>
      </w:docPartObj>
    </w:sdtPr>
    <w:sdtEndPr>
      <w:rPr>
        <w:rFonts w:ascii="Times New Roman" w:hAnsi="Times New Roman" w:cs="Times New Roman"/>
      </w:rPr>
    </w:sdtEndPr>
    <w:sdtContent>
      <w:p w14:paraId="7DD0AF60">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13</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131390928"/>
      <w:docPartObj>
        <w:docPartGallery w:val="autotext"/>
      </w:docPartObj>
    </w:sdtPr>
    <w:sdtEndPr>
      <w:rPr>
        <w:rFonts w:ascii="Times New Roman" w:hAnsi="Times New Roman" w:cs="Times New Roman"/>
      </w:rPr>
    </w:sdtEndPr>
    <w:sdtContent>
      <w:p w14:paraId="39A7837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14</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14AE39AB">
      <w:pPr>
        <w:pStyle w:val="8"/>
        <w:rPr>
          <w:rFonts w:hint="eastAsia" w:ascii="仿宋_GB2312" w:eastAsia="仿宋_GB2312"/>
          <w:sz w:val="21"/>
          <w:szCs w:val="21"/>
        </w:rPr>
      </w:pPr>
      <w:r>
        <w:rPr>
          <w:rStyle w:val="14"/>
          <w:rFonts w:hint="eastAsia" w:ascii="仿宋_GB2312" w:eastAsia="仿宋_GB2312"/>
          <w:sz w:val="21"/>
          <w:szCs w:val="21"/>
        </w:rPr>
        <w:footnoteRef/>
      </w:r>
      <w:r>
        <w:rPr>
          <w:rFonts w:hint="eastAsia" w:ascii="仿宋_GB2312" w:eastAsia="仿宋_GB2312"/>
          <w:sz w:val="21"/>
          <w:szCs w:val="21"/>
        </w:rPr>
        <w:t xml:space="preserve"> 综合技能提升模块(听说写能力训练ENG125)不纳入推免学分条件和成绩计算。</w:t>
      </w:r>
    </w:p>
  </w:footnote>
  <w:footnote w:id="1">
    <w:p w14:paraId="7AE70DFD">
      <w:pPr>
        <w:pStyle w:val="8"/>
        <w:rPr>
          <w:rFonts w:hint="eastAsia" w:ascii="仿宋_GB2312" w:eastAsia="仿宋_GB2312"/>
          <w:sz w:val="21"/>
          <w:szCs w:val="21"/>
        </w:rPr>
      </w:pPr>
    </w:p>
  </w:footnote>
  <w:footnote w:id="2">
    <w:p w14:paraId="0D109DF2">
      <w:pPr>
        <w:pStyle w:val="8"/>
        <w:rPr>
          <w:rFonts w:hint="eastAsia" w:ascii="仿宋_GB2312" w:eastAsia="仿宋_GB2312"/>
          <w:sz w:val="21"/>
          <w:szCs w:val="21"/>
        </w:rPr>
      </w:pPr>
      <w:r>
        <w:rPr>
          <w:rStyle w:val="14"/>
          <w:rFonts w:hint="eastAsia" w:ascii="仿宋_GB2312" w:eastAsia="仿宋_GB2312"/>
          <w:sz w:val="21"/>
          <w:szCs w:val="21"/>
        </w:rPr>
        <w:footnoteRef/>
      </w:r>
      <w:r>
        <w:rPr>
          <w:rFonts w:hint="eastAsia" w:ascii="仿宋_GB2312" w:eastAsia="仿宋_GB2312"/>
          <w:sz w:val="21"/>
          <w:szCs w:val="21"/>
        </w:rPr>
        <w:t xml:space="preserve"> 如大三下学期通识核心课和专业选修课申请缓考，则该门课程成绩不纳入计算范围。</w:t>
      </w:r>
    </w:p>
  </w:footnote>
  <w:footnote w:id="3">
    <w:p w14:paraId="51880A48">
      <w:pPr>
        <w:pStyle w:val="8"/>
        <w:rPr>
          <w:rFonts w:hint="eastAsia" w:ascii="仿宋_GB2312" w:eastAsia="仿宋_GB2312"/>
          <w:sz w:val="21"/>
          <w:szCs w:val="21"/>
        </w:rPr>
      </w:pPr>
      <w:r>
        <w:rPr>
          <w:rStyle w:val="14"/>
          <w:rFonts w:hint="eastAsia" w:ascii="仿宋_GB2312" w:eastAsia="仿宋_GB2312"/>
          <w:sz w:val="21"/>
          <w:szCs w:val="21"/>
        </w:rPr>
        <w:footnoteRef/>
      </w:r>
      <w:r>
        <w:rPr>
          <w:rFonts w:hint="eastAsia" w:ascii="仿宋_GB2312" w:eastAsia="仿宋_GB2312"/>
          <w:sz w:val="21"/>
          <w:szCs w:val="21"/>
        </w:rPr>
        <w:t xml:space="preserve"> 综合技能提升模块(听说写能力训练ENG125)不纳入推免学分条件和成绩计算。</w:t>
      </w:r>
    </w:p>
  </w:footnote>
  <w:footnote w:id="4">
    <w:p w14:paraId="6AFF3CED">
      <w:pPr>
        <w:pStyle w:val="8"/>
        <w:rPr>
          <w:rFonts w:hint="eastAsia" w:ascii="仿宋_GB2312" w:eastAsia="仿宋_GB2312"/>
          <w:sz w:val="21"/>
          <w:szCs w:val="21"/>
        </w:rPr>
      </w:pPr>
      <w:r>
        <w:rPr>
          <w:rStyle w:val="14"/>
          <w:rFonts w:hint="eastAsia" w:ascii="仿宋_GB2312" w:eastAsia="仿宋_GB2312"/>
          <w:sz w:val="21"/>
          <w:szCs w:val="21"/>
        </w:rPr>
        <w:footnoteRef/>
      </w:r>
      <w:r>
        <w:rPr>
          <w:rFonts w:hint="eastAsia" w:ascii="仿宋_GB2312" w:eastAsia="仿宋_GB2312"/>
          <w:sz w:val="21"/>
          <w:szCs w:val="21"/>
        </w:rPr>
        <w:t xml:space="preserve"> 学生需在当年推免报名工作截止时间前修读完成至少8学分的通识核心课、2学分的通识选修课、9学分的专业选修课与3学分的跨专业选修课并取得课程成绩。</w:t>
      </w:r>
    </w:p>
  </w:footnote>
  <w:footnote w:id="5">
    <w:p w14:paraId="5CD148F5">
      <w:pPr>
        <w:pStyle w:val="8"/>
        <w:rPr>
          <w:rFonts w:hint="eastAsia" w:ascii="仿宋_GB2312" w:eastAsia="仿宋_GB2312"/>
          <w:sz w:val="21"/>
          <w:szCs w:val="21"/>
        </w:rPr>
      </w:pPr>
      <w:r>
        <w:rPr>
          <w:rStyle w:val="14"/>
          <w:rFonts w:hint="eastAsia" w:ascii="仿宋_GB2312" w:eastAsia="仿宋_GB2312"/>
          <w:sz w:val="21"/>
          <w:szCs w:val="21"/>
        </w:rPr>
        <w:footnoteRef/>
      </w:r>
      <w:r>
        <w:rPr>
          <w:rFonts w:hint="eastAsia" w:ascii="仿宋_GB2312" w:eastAsia="仿宋_GB2312"/>
          <w:sz w:val="21"/>
          <w:szCs w:val="21"/>
        </w:rPr>
        <w:t xml:space="preserve"> 如大三下学期通识核心课和专业选修课申请缓考，则该门课程成绩不纳入计算范围。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evenAndOddHeaders w:val="1"/>
  <w:drawingGridVerticalSpacing w:val="156"/>
  <w:noPunctuationKerning w:val="1"/>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69"/>
    <w:rsid w:val="000474BF"/>
    <w:rsid w:val="000D2968"/>
    <w:rsid w:val="001D2E6B"/>
    <w:rsid w:val="002D5320"/>
    <w:rsid w:val="002F0669"/>
    <w:rsid w:val="0033645F"/>
    <w:rsid w:val="003B6AF6"/>
    <w:rsid w:val="00401366"/>
    <w:rsid w:val="00424661"/>
    <w:rsid w:val="004352B4"/>
    <w:rsid w:val="0046159F"/>
    <w:rsid w:val="004C25AA"/>
    <w:rsid w:val="004E2823"/>
    <w:rsid w:val="005157FD"/>
    <w:rsid w:val="005A0680"/>
    <w:rsid w:val="006711F0"/>
    <w:rsid w:val="0072651B"/>
    <w:rsid w:val="008206EA"/>
    <w:rsid w:val="00875437"/>
    <w:rsid w:val="008F3A7E"/>
    <w:rsid w:val="00934AEE"/>
    <w:rsid w:val="00A24CE7"/>
    <w:rsid w:val="00AA3374"/>
    <w:rsid w:val="00B33E9E"/>
    <w:rsid w:val="00C6675A"/>
    <w:rsid w:val="00D1146D"/>
    <w:rsid w:val="00D3119A"/>
    <w:rsid w:val="00DE644B"/>
    <w:rsid w:val="00E17AD9"/>
    <w:rsid w:val="00E93D99"/>
    <w:rsid w:val="00EB2DE2"/>
    <w:rsid w:val="00F73AFD"/>
    <w:rsid w:val="00FD1055"/>
    <w:rsid w:val="026A7AE7"/>
    <w:rsid w:val="035F21F3"/>
    <w:rsid w:val="0CA21D1B"/>
    <w:rsid w:val="1C081437"/>
    <w:rsid w:val="267656D2"/>
    <w:rsid w:val="3358773C"/>
    <w:rsid w:val="3B5F50F7"/>
    <w:rsid w:val="3E9E7CE5"/>
    <w:rsid w:val="43923B90"/>
    <w:rsid w:val="4587329F"/>
    <w:rsid w:val="475B0CBF"/>
    <w:rsid w:val="4E573EAB"/>
    <w:rsid w:val="5580080A"/>
    <w:rsid w:val="58FC1848"/>
    <w:rsid w:val="59C91CF5"/>
    <w:rsid w:val="59CD1728"/>
    <w:rsid w:val="5D0B48DC"/>
    <w:rsid w:val="60C2740B"/>
    <w:rsid w:val="660563ED"/>
    <w:rsid w:val="6E600263"/>
    <w:rsid w:val="7D3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hd w:val="clear" w:color="auto" w:fill="FFFFFF"/>
      <w:spacing w:before="720" w:beforeLines="300" w:after="480" w:afterLines="200" w:line="700" w:lineRule="exact"/>
      <w:jc w:val="center"/>
      <w:outlineLvl w:val="0"/>
    </w:pPr>
    <w:rPr>
      <w:rFonts w:ascii="方正小标宋简体" w:hAnsi="微软雅黑" w:eastAsia="方正小标宋简体" w:cs="微软雅黑"/>
      <w:b/>
      <w:bCs/>
      <w:kern w:val="44"/>
      <w:sz w:val="44"/>
      <w:szCs w:val="44"/>
      <w:shd w:val="clear" w:color="auto" w:fill="FFFFFF"/>
    </w:rPr>
  </w:style>
  <w:style w:type="paragraph" w:styleId="3">
    <w:name w:val="heading 2"/>
    <w:basedOn w:val="1"/>
    <w:next w:val="1"/>
    <w:unhideWhenUsed/>
    <w:qFormat/>
    <w:uiPriority w:val="0"/>
    <w:pPr>
      <w:spacing w:before="120" w:beforeLines="50" w:after="120" w:afterLines="50" w:line="560" w:lineRule="exact"/>
      <w:jc w:val="center"/>
      <w:outlineLvl w:val="1"/>
    </w:pPr>
    <w:rPr>
      <w:rFonts w:ascii="黑体" w:hAnsi="黑体" w:eastAsia="黑体"/>
      <w:b/>
      <w:sz w:val="32"/>
      <w:szCs w:val="32"/>
      <w:shd w:val="clear" w:color="auto" w:fill="FFFFFF"/>
    </w:rPr>
  </w:style>
  <w:style w:type="paragraph" w:styleId="4">
    <w:name w:val="heading 8"/>
    <w:basedOn w:val="5"/>
    <w:next w:val="1"/>
    <w:link w:val="20"/>
    <w:unhideWhenUsed/>
    <w:qFormat/>
    <w:uiPriority w:val="0"/>
    <w:pPr>
      <w:spacing w:before="120" w:beforeLines="50" w:after="120" w:afterLines="50"/>
      <w:jc w:val="center"/>
      <w:outlineLvl w:val="7"/>
    </w:pPr>
    <w:rPr>
      <w:rFonts w:ascii="黑体" w:hAnsi="黑体" w:eastAsia="黑体"/>
      <w:sz w:val="21"/>
      <w:szCs w:val="21"/>
      <w:lang w:eastAsia="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9"/>
    <w:semiHidden/>
    <w:qFormat/>
    <w:uiPriority w:val="0"/>
    <w:rPr>
      <w:rFonts w:ascii="仿宋" w:hAnsi="仿宋" w:eastAsia="仿宋" w:cs="仿宋"/>
      <w:sz w:val="28"/>
      <w:szCs w:val="28"/>
      <w:lang w:eastAsia="en-US"/>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footnote reference"/>
    <w:basedOn w:val="12"/>
    <w:qFormat/>
    <w:uiPriority w:val="0"/>
    <w:rPr>
      <w:vertAlign w:val="superscript"/>
    </w:rPr>
  </w:style>
  <w:style w:type="paragraph" w:customStyle="1" w:styleId="15">
    <w:name w:val="Table Text"/>
    <w:basedOn w:val="1"/>
    <w:semiHidden/>
    <w:qFormat/>
    <w:uiPriority w:val="0"/>
    <w:rPr>
      <w:rFonts w:ascii="仿宋" w:hAnsi="仿宋" w:eastAsia="仿宋" w:cs="仿宋"/>
      <w:sz w:val="20"/>
      <w:szCs w:val="20"/>
      <w:lang w:eastAsia="en-US"/>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页眉 Char"/>
    <w:basedOn w:val="12"/>
    <w:link w:val="7"/>
    <w:qFormat/>
    <w:uiPriority w:val="0"/>
    <w:rPr>
      <w:rFonts w:asciiTheme="minorHAnsi" w:hAnsiTheme="minorHAnsi" w:eastAsiaTheme="minorEastAsia" w:cstheme="minorBidi"/>
      <w:kern w:val="2"/>
      <w:sz w:val="18"/>
      <w:szCs w:val="18"/>
    </w:rPr>
  </w:style>
  <w:style w:type="character" w:customStyle="1" w:styleId="18">
    <w:name w:val="页脚 Char"/>
    <w:basedOn w:val="12"/>
    <w:link w:val="6"/>
    <w:qFormat/>
    <w:uiPriority w:val="99"/>
    <w:rPr>
      <w:rFonts w:asciiTheme="minorHAnsi" w:hAnsiTheme="minorHAnsi" w:eastAsiaTheme="minorEastAsia" w:cstheme="minorBidi"/>
      <w:kern w:val="2"/>
      <w:sz w:val="18"/>
      <w:szCs w:val="18"/>
    </w:rPr>
  </w:style>
  <w:style w:type="character" w:customStyle="1" w:styleId="19">
    <w:name w:val="正文文本 Char"/>
    <w:basedOn w:val="12"/>
    <w:link w:val="5"/>
    <w:semiHidden/>
    <w:qFormat/>
    <w:uiPriority w:val="0"/>
    <w:rPr>
      <w:rFonts w:ascii="仿宋" w:hAnsi="仿宋" w:eastAsia="仿宋" w:cs="仿宋"/>
      <w:kern w:val="2"/>
      <w:sz w:val="28"/>
      <w:szCs w:val="28"/>
      <w:lang w:eastAsia="en-US"/>
    </w:rPr>
  </w:style>
  <w:style w:type="character" w:customStyle="1" w:styleId="20">
    <w:name w:val="标题 8 Char"/>
    <w:basedOn w:val="12"/>
    <w:link w:val="4"/>
    <w:qFormat/>
    <w:uiPriority w:val="0"/>
    <w:rPr>
      <w:rFonts w:ascii="黑体" w:hAnsi="黑体" w:eastAsia="黑体" w:cs="仿宋"/>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4675</Words>
  <Characters>4779</Characters>
  <Lines>6</Lines>
  <Paragraphs>17</Paragraphs>
  <TotalTime>1</TotalTime>
  <ScaleCrop>false</ScaleCrop>
  <LinksUpToDate>false</LinksUpToDate>
  <CharactersWithSpaces>4816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2025-01-07T09:27:00Z</dcterms:created>
  <dc:creator>laichao</dc:creator>
  <cp:lastModifiedBy>赖超</cp:lastModifiedBy>
  <cp:lastPrinted>2025-01-08T09:11:00Z</cp:lastPrinted>
  <dcterms:modified xsi:type="dcterms:W3CDTF">2026-03-10T07:17:54Z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340B066220FA4B949DADDFA42B2C670E_13</vt:lpwstr>
  </property>
  <property fmtid="{D5CDD505-2E9C-101B-9397-08002B2CF9AE}" pid="4" name="KSOTemplateDocerSaveRecord">
    <vt:lpwstr>eyJoZGlkIjoiNmM0MTZjOGNhM2I5YzI5MWY2YTFmZDFhODUwZjUzYjUiLCJ1c2VySWQiOiI2NDAyODk5NDEifQ==</vt:lpwstr>
  </property>
</Properties>
</file>